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E1752C" w:rsidTr="00340280">
        <w:trPr>
          <w:trHeight w:val="113"/>
        </w:trPr>
        <w:tc>
          <w:tcPr>
            <w:tcW w:w="9889" w:type="dxa"/>
            <w:gridSpan w:val="5"/>
            <w:vAlign w:val="center"/>
          </w:tcPr>
          <w:p w:rsidR="00E23C23" w:rsidRPr="00E1752C" w:rsidRDefault="00557F4D" w:rsidP="00AB15F2">
            <w:pPr>
              <w:jc w:val="center"/>
              <w:rPr>
                <w:rFonts w:ascii="Cambria" w:hAnsi="Cambria"/>
                <w:noProof/>
                <w:sz w:val="18"/>
                <w:szCs w:val="18"/>
              </w:rPr>
            </w:pPr>
            <w:r>
              <w:rPr>
                <w:rFonts w:ascii="Cambria" w:hAnsi="Cambria"/>
                <w:noProof/>
                <w:sz w:val="16"/>
                <w:szCs w:val="18"/>
              </w:rPr>
              <w:t>Van Vet J, 201</w:t>
            </w:r>
            <w:r w:rsidR="00754B36">
              <w:rPr>
                <w:rFonts w:ascii="Cambria" w:hAnsi="Cambria"/>
                <w:noProof/>
                <w:sz w:val="16"/>
                <w:szCs w:val="18"/>
              </w:rPr>
              <w:t>7</w:t>
            </w:r>
            <w:r w:rsidR="00E23C23">
              <w:rPr>
                <w:rFonts w:ascii="Cambria" w:hAnsi="Cambria"/>
                <w:noProof/>
                <w:sz w:val="16"/>
                <w:szCs w:val="18"/>
              </w:rPr>
              <w:t>, 2</w:t>
            </w:r>
            <w:r w:rsidR="00754B36">
              <w:rPr>
                <w:rFonts w:ascii="Cambria" w:hAnsi="Cambria"/>
                <w:noProof/>
                <w:sz w:val="16"/>
                <w:szCs w:val="18"/>
              </w:rPr>
              <w:t>8</w:t>
            </w:r>
            <w:r w:rsidR="00E23C23">
              <w:rPr>
                <w:rFonts w:ascii="Cambria" w:hAnsi="Cambria"/>
                <w:noProof/>
                <w:sz w:val="16"/>
                <w:szCs w:val="18"/>
              </w:rPr>
              <w:t xml:space="preserve"> (</w:t>
            </w:r>
            <w:r w:rsidR="00754B36">
              <w:rPr>
                <w:rFonts w:ascii="Cambria" w:hAnsi="Cambria"/>
                <w:noProof/>
                <w:sz w:val="16"/>
                <w:szCs w:val="18"/>
              </w:rPr>
              <w:t>1</w:t>
            </w:r>
            <w:r w:rsidR="00E23C23">
              <w:rPr>
                <w:rFonts w:ascii="Cambria" w:hAnsi="Cambria"/>
                <w:noProof/>
                <w:sz w:val="16"/>
                <w:szCs w:val="18"/>
              </w:rPr>
              <w:t xml:space="preserve">) </w:t>
            </w:r>
            <w:r w:rsidR="00AB15F2">
              <w:rPr>
                <w:rFonts w:ascii="Cambria" w:hAnsi="Cambria"/>
                <w:noProof/>
                <w:sz w:val="16"/>
                <w:szCs w:val="18"/>
              </w:rPr>
              <w:t>41-45</w:t>
            </w:r>
          </w:p>
        </w:tc>
      </w:tr>
      <w:tr w:rsidR="00E23C23" w:rsidRPr="00CE787A" w:rsidTr="00340280">
        <w:trPr>
          <w:trHeight w:val="57"/>
        </w:trPr>
        <w:tc>
          <w:tcPr>
            <w:tcW w:w="9889" w:type="dxa"/>
            <w:gridSpan w:val="5"/>
            <w:tcBorders>
              <w:bottom w:val="single" w:sz="6" w:space="0" w:color="C00000"/>
            </w:tcBorders>
            <w:vAlign w:val="center"/>
          </w:tcPr>
          <w:p w:rsidR="00E23C23" w:rsidRPr="00CE787A" w:rsidRDefault="00E23C23" w:rsidP="00340280">
            <w:pPr>
              <w:jc w:val="center"/>
              <w:rPr>
                <w:rFonts w:ascii="Cambria" w:hAnsi="Cambria"/>
                <w:noProof/>
                <w:sz w:val="10"/>
                <w:szCs w:val="18"/>
              </w:rPr>
            </w:pPr>
          </w:p>
        </w:tc>
      </w:tr>
      <w:tr w:rsidR="00E23C23" w:rsidRPr="00DD1213" w:rsidTr="00340280">
        <w:trPr>
          <w:trHeight w:val="57"/>
        </w:trPr>
        <w:tc>
          <w:tcPr>
            <w:tcW w:w="9889" w:type="dxa"/>
            <w:gridSpan w:val="5"/>
            <w:tcBorders>
              <w:top w:val="single" w:sz="6" w:space="0" w:color="C00000"/>
            </w:tcBorders>
            <w:vAlign w:val="center"/>
          </w:tcPr>
          <w:p w:rsidR="00E23C23" w:rsidRPr="00DD1213" w:rsidRDefault="00E23C23" w:rsidP="00340280">
            <w:pPr>
              <w:jc w:val="center"/>
              <w:rPr>
                <w:rFonts w:ascii="Cambria" w:hAnsi="Cambria"/>
                <w:noProof/>
                <w:sz w:val="4"/>
                <w:szCs w:val="18"/>
              </w:rPr>
            </w:pPr>
          </w:p>
        </w:tc>
      </w:tr>
      <w:tr w:rsidR="00E23C23" w:rsidRPr="00B27CBA" w:rsidTr="00340280">
        <w:trPr>
          <w:trHeight w:val="20"/>
        </w:trPr>
        <w:tc>
          <w:tcPr>
            <w:tcW w:w="1242" w:type="dxa"/>
            <w:vMerge w:val="restart"/>
            <w:vAlign w:val="bottom"/>
          </w:tcPr>
          <w:p w:rsidR="00E23C23" w:rsidRPr="00B27CBA" w:rsidRDefault="007C14BC" w:rsidP="00340280">
            <w:pPr>
              <w:ind w:left="-113" w:right="-113"/>
              <w:jc w:val="center"/>
              <w:rPr>
                <w:rFonts w:ascii="Cambria" w:hAnsi="Cambria"/>
                <w:noProof/>
                <w:sz w:val="8"/>
                <w:szCs w:val="18"/>
              </w:rPr>
            </w:pPr>
            <w:r>
              <w:rPr>
                <w:rFonts w:ascii="Cambria" w:hAnsi="Cambria"/>
                <w:noProof/>
                <w:sz w:val="8"/>
                <w:szCs w:val="18"/>
              </w:rPr>
              <w:drawing>
                <wp:inline distT="0" distB="0" distL="0" distR="0" wp14:anchorId="6EA0C634" wp14:editId="28E0B653">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D1213" w:rsidRDefault="00E23C23" w:rsidP="00340280">
            <w:pPr>
              <w:jc w:val="center"/>
              <w:rPr>
                <w:rFonts w:ascii="Cambria" w:hAnsi="Cambria"/>
                <w:sz w:val="4"/>
                <w:szCs w:val="18"/>
              </w:rPr>
            </w:pPr>
          </w:p>
        </w:tc>
        <w:tc>
          <w:tcPr>
            <w:tcW w:w="1134" w:type="dxa"/>
            <w:vAlign w:val="center"/>
          </w:tcPr>
          <w:p w:rsidR="00E23C23" w:rsidRPr="00B27CBA" w:rsidRDefault="00E23C23" w:rsidP="00340280">
            <w:pPr>
              <w:jc w:val="center"/>
              <w:rPr>
                <w:rFonts w:ascii="Cambria" w:hAnsi="Cambria"/>
                <w:noProof/>
                <w:sz w:val="8"/>
                <w:szCs w:val="18"/>
              </w:rPr>
            </w:pPr>
          </w:p>
        </w:tc>
      </w:tr>
      <w:tr w:rsidR="00E23C23" w:rsidRPr="00C24404"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C24404" w:rsidRDefault="00C05E8C" w:rsidP="00340280">
            <w:pPr>
              <w:ind w:right="-108"/>
              <w:jc w:val="right"/>
              <w:rPr>
                <w:rFonts w:ascii="Cambria" w:hAnsi="Cambria"/>
                <w:b/>
                <w:noProof/>
                <w:sz w:val="16"/>
                <w:szCs w:val="22"/>
              </w:rPr>
            </w:pPr>
            <w:r>
              <w:rPr>
                <w:rFonts w:ascii="Cambria" w:hAnsi="Cambria"/>
                <w:b/>
                <w:noProof/>
                <w:sz w:val="16"/>
                <w:szCs w:val="22"/>
              </w:rPr>
              <w:drawing>
                <wp:inline distT="0" distB="0" distL="0" distR="0" wp14:anchorId="4FBF442D" wp14:editId="77A74AC3">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32"/>
                <w:szCs w:val="18"/>
              </w:rPr>
            </w:pPr>
            <w:r w:rsidRPr="00DD75EF">
              <w:rPr>
                <w:rFonts w:ascii="Cambria" w:hAnsi="Cambria"/>
                <w:spacing w:val="24"/>
                <w:sz w:val="28"/>
                <w:szCs w:val="18"/>
              </w:rPr>
              <w:t>Van Veterinary Journal</w:t>
            </w:r>
          </w:p>
        </w:tc>
        <w:tc>
          <w:tcPr>
            <w:tcW w:w="1134" w:type="dxa"/>
            <w:vMerge/>
            <w:shd w:val="clear" w:color="auto" w:fill="FFFFFF" w:themeFill="background1"/>
            <w:vAlign w:val="center"/>
          </w:tcPr>
          <w:p w:rsidR="00E23C23" w:rsidRDefault="00E23C23" w:rsidP="00340280">
            <w:pPr>
              <w:jc w:val="center"/>
              <w:rPr>
                <w:rFonts w:ascii="Cambria" w:hAnsi="Cambria"/>
                <w:b/>
                <w:noProof/>
                <w:sz w:val="16"/>
                <w:szCs w:val="22"/>
              </w:rPr>
            </w:pPr>
          </w:p>
        </w:tc>
      </w:tr>
      <w:tr w:rsidR="00E23C23" w:rsidTr="00340280">
        <w:trPr>
          <w:trHeight w:val="454"/>
        </w:trPr>
        <w:tc>
          <w:tcPr>
            <w:tcW w:w="1242" w:type="dxa"/>
            <w:vMerge/>
            <w:shd w:val="clear" w:color="auto" w:fill="FFFFFF" w:themeFill="background1"/>
            <w:vAlign w:val="center"/>
          </w:tcPr>
          <w:p w:rsidR="00E23C23" w:rsidRDefault="00E23C23" w:rsidP="0034028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6B00D1" w:rsidRDefault="00E23C23" w:rsidP="00340280">
            <w:pPr>
              <w:spacing w:before="40" w:after="40"/>
              <w:jc w:val="center"/>
              <w:rPr>
                <w:rFonts w:ascii="Cambria" w:hAnsi="Cambria"/>
                <w:szCs w:val="18"/>
              </w:rPr>
            </w:pPr>
            <w:r w:rsidRPr="00580A97">
              <w:rPr>
                <w:rFonts w:ascii="Cambria" w:hAnsi="Cambria"/>
                <w:color w:val="0070C0"/>
                <w:sz w:val="16"/>
                <w:szCs w:val="16"/>
              </w:rPr>
              <w:t>http://vfdergi.yyu.edu.tr</w:t>
            </w:r>
          </w:p>
        </w:tc>
        <w:tc>
          <w:tcPr>
            <w:tcW w:w="1134" w:type="dxa"/>
            <w:vMerge/>
            <w:shd w:val="clear" w:color="auto" w:fill="FFFFFF" w:themeFill="background1"/>
            <w:vAlign w:val="center"/>
          </w:tcPr>
          <w:p w:rsidR="00E23C23" w:rsidRDefault="00E23C23" w:rsidP="00340280">
            <w:pPr>
              <w:spacing w:before="40" w:after="40"/>
              <w:jc w:val="center"/>
              <w:rPr>
                <w:rFonts w:ascii="Cambria" w:hAnsi="Cambria"/>
                <w:b/>
                <w:noProof/>
                <w:sz w:val="16"/>
                <w:szCs w:val="22"/>
              </w:rPr>
            </w:pPr>
          </w:p>
        </w:tc>
      </w:tr>
      <w:tr w:rsidR="00E23C23" w:rsidRPr="00B27CBA" w:rsidTr="00340280">
        <w:trPr>
          <w:trHeight w:val="57"/>
        </w:trPr>
        <w:tc>
          <w:tcPr>
            <w:tcW w:w="1242" w:type="dxa"/>
            <w:vMerge/>
            <w:shd w:val="clear" w:color="auto" w:fill="FFFFFF" w:themeFill="background1"/>
            <w:vAlign w:val="center"/>
          </w:tcPr>
          <w:p w:rsidR="00E23C23" w:rsidRPr="00B27CBA" w:rsidRDefault="00E23C23" w:rsidP="00340280">
            <w:pPr>
              <w:jc w:val="center"/>
              <w:rPr>
                <w:rFonts w:ascii="Cambria" w:hAnsi="Cambria"/>
                <w:noProof/>
                <w:sz w:val="8"/>
                <w:szCs w:val="22"/>
              </w:rPr>
            </w:pPr>
          </w:p>
        </w:tc>
        <w:tc>
          <w:tcPr>
            <w:tcW w:w="7513" w:type="dxa"/>
            <w:gridSpan w:val="3"/>
            <w:shd w:val="clear" w:color="auto" w:fill="auto"/>
            <w:vAlign w:val="center"/>
          </w:tcPr>
          <w:p w:rsidR="00E23C23" w:rsidRPr="00DD1213" w:rsidRDefault="00E23C23" w:rsidP="00340280">
            <w:pPr>
              <w:jc w:val="center"/>
              <w:rPr>
                <w:rFonts w:ascii="Cambria" w:hAnsi="Cambria"/>
                <w:b/>
                <w:sz w:val="4"/>
                <w:szCs w:val="18"/>
              </w:rPr>
            </w:pPr>
          </w:p>
        </w:tc>
        <w:tc>
          <w:tcPr>
            <w:tcW w:w="1134" w:type="dxa"/>
            <w:shd w:val="clear" w:color="auto" w:fill="FFFFFF" w:themeFill="background1"/>
            <w:vAlign w:val="center"/>
          </w:tcPr>
          <w:p w:rsidR="00E23C23" w:rsidRPr="00B27CBA" w:rsidRDefault="00E23C23" w:rsidP="00340280">
            <w:pPr>
              <w:jc w:val="center"/>
              <w:rPr>
                <w:rFonts w:ascii="Cambria" w:hAnsi="Cambria"/>
                <w:b/>
                <w:noProof/>
                <w:sz w:val="8"/>
                <w:szCs w:val="22"/>
              </w:rPr>
            </w:pPr>
          </w:p>
        </w:tc>
      </w:tr>
      <w:tr w:rsidR="00E23C23" w:rsidRPr="00DD1213" w:rsidTr="00340280">
        <w:trPr>
          <w:trHeight w:val="57"/>
        </w:trPr>
        <w:tc>
          <w:tcPr>
            <w:tcW w:w="9889" w:type="dxa"/>
            <w:gridSpan w:val="5"/>
            <w:tcBorders>
              <w:bottom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DD1213" w:rsidTr="00340280">
        <w:trPr>
          <w:trHeight w:val="57"/>
        </w:trPr>
        <w:tc>
          <w:tcPr>
            <w:tcW w:w="9889" w:type="dxa"/>
            <w:gridSpan w:val="5"/>
            <w:tcBorders>
              <w:top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C24404" w:rsidTr="00156EB4">
        <w:trPr>
          <w:trHeight w:val="170"/>
        </w:trPr>
        <w:tc>
          <w:tcPr>
            <w:tcW w:w="1242" w:type="dxa"/>
            <w:vAlign w:val="center"/>
          </w:tcPr>
          <w:p w:rsidR="00E23C23" w:rsidRPr="00C24404" w:rsidRDefault="00E23C23" w:rsidP="00340280">
            <w:pPr>
              <w:ind w:left="-108"/>
              <w:jc w:val="center"/>
              <w:rPr>
                <w:rFonts w:ascii="Cambria" w:hAnsi="Cambria"/>
                <w:noProof/>
                <w:sz w:val="16"/>
                <w:szCs w:val="16"/>
              </w:rPr>
            </w:pPr>
            <w:r w:rsidRPr="00972A2E">
              <w:rPr>
                <w:rFonts w:ascii="Cambria" w:hAnsi="Cambria"/>
                <w:sz w:val="14"/>
                <w:szCs w:val="16"/>
              </w:rPr>
              <w:t>ISSN: 2149-3359</w:t>
            </w:r>
          </w:p>
        </w:tc>
        <w:tc>
          <w:tcPr>
            <w:tcW w:w="7371" w:type="dxa"/>
            <w:gridSpan w:val="2"/>
            <w:vAlign w:val="bottom"/>
          </w:tcPr>
          <w:p w:rsidR="00E23C23" w:rsidRPr="0086694F" w:rsidRDefault="00E23C23" w:rsidP="00D644B0">
            <w:pPr>
              <w:jc w:val="center"/>
              <w:rPr>
                <w:rFonts w:ascii="Cambria" w:hAnsi="Cambria"/>
                <w:b/>
                <w:sz w:val="16"/>
                <w:szCs w:val="16"/>
                <w:lang w:val="en-US"/>
              </w:rPr>
            </w:pPr>
            <w:r w:rsidRPr="0086694F">
              <w:rPr>
                <w:rFonts w:ascii="Cambria" w:hAnsi="Cambria"/>
                <w:b/>
                <w:sz w:val="18"/>
                <w:szCs w:val="18"/>
                <w:lang w:val="en-US"/>
              </w:rPr>
              <w:t>Ori</w:t>
            </w:r>
            <w:r w:rsidR="00D644B0" w:rsidRPr="0086694F">
              <w:rPr>
                <w:rFonts w:ascii="Cambria" w:hAnsi="Cambria"/>
                <w:b/>
                <w:sz w:val="18"/>
                <w:szCs w:val="18"/>
                <w:lang w:val="en-US"/>
              </w:rPr>
              <w:t>g</w:t>
            </w:r>
            <w:r w:rsidRPr="0086694F">
              <w:rPr>
                <w:rFonts w:ascii="Cambria" w:hAnsi="Cambria"/>
                <w:b/>
                <w:sz w:val="18"/>
                <w:szCs w:val="18"/>
                <w:lang w:val="en-US"/>
              </w:rPr>
              <w:t xml:space="preserve">inal </w:t>
            </w:r>
            <w:r w:rsidR="00D644B0" w:rsidRPr="0086694F">
              <w:rPr>
                <w:rFonts w:ascii="Cambria" w:hAnsi="Cambria"/>
                <w:b/>
                <w:sz w:val="18"/>
                <w:szCs w:val="18"/>
                <w:lang w:val="en-US"/>
              </w:rPr>
              <w:t>Article</w:t>
            </w:r>
          </w:p>
        </w:tc>
        <w:tc>
          <w:tcPr>
            <w:tcW w:w="1276" w:type="dxa"/>
            <w:gridSpan w:val="2"/>
            <w:vAlign w:val="center"/>
          </w:tcPr>
          <w:p w:rsidR="00E23C23" w:rsidRPr="00C24404" w:rsidRDefault="00156EB4" w:rsidP="00156EB4">
            <w:pPr>
              <w:ind w:left="-250" w:right="-142"/>
              <w:jc w:val="right"/>
              <w:rPr>
                <w:rFonts w:ascii="Cambria" w:hAnsi="Cambria"/>
                <w:b/>
                <w:noProof/>
                <w:sz w:val="16"/>
                <w:szCs w:val="16"/>
              </w:rPr>
            </w:pPr>
            <w:r>
              <w:rPr>
                <w:rFonts w:ascii="Cambria" w:hAnsi="Cambria"/>
                <w:noProof/>
                <w:sz w:val="14"/>
                <w:szCs w:val="16"/>
              </w:rPr>
              <w:t>e-ISSN: 2149-8644</w:t>
            </w:r>
          </w:p>
        </w:tc>
      </w:tr>
      <w:tr w:rsidR="00E23C23" w:rsidRPr="00796A42" w:rsidTr="00340280">
        <w:trPr>
          <w:trHeight w:val="227"/>
        </w:trPr>
        <w:tc>
          <w:tcPr>
            <w:tcW w:w="9889" w:type="dxa"/>
            <w:gridSpan w:val="5"/>
            <w:vAlign w:val="center"/>
          </w:tcPr>
          <w:p w:rsidR="00E23C23" w:rsidRPr="0086694F" w:rsidRDefault="00E23C23" w:rsidP="00340280">
            <w:pPr>
              <w:jc w:val="center"/>
              <w:rPr>
                <w:rFonts w:ascii="Cambria" w:hAnsi="Cambria"/>
                <w:b/>
                <w:noProof/>
                <w:sz w:val="16"/>
                <w:szCs w:val="22"/>
                <w:lang w:val="en-US"/>
              </w:rPr>
            </w:pPr>
          </w:p>
        </w:tc>
      </w:tr>
      <w:tr w:rsidR="00E23C23" w:rsidRPr="00D91119" w:rsidTr="00340280">
        <w:tc>
          <w:tcPr>
            <w:tcW w:w="9889" w:type="dxa"/>
            <w:gridSpan w:val="5"/>
            <w:vAlign w:val="center"/>
          </w:tcPr>
          <w:p w:rsidR="00E23C23" w:rsidRPr="0086694F" w:rsidRDefault="00945151" w:rsidP="00D91119">
            <w:pPr>
              <w:spacing w:before="120" w:after="120"/>
              <w:jc w:val="center"/>
              <w:rPr>
                <w:rFonts w:ascii="Cambria" w:hAnsi="Cambria"/>
                <w:szCs w:val="18"/>
                <w:lang w:val="en-US"/>
              </w:rPr>
            </w:pPr>
            <w:r w:rsidRPr="00405719">
              <w:rPr>
                <w:rFonts w:ascii="Cambria" w:hAnsi="Cambria"/>
                <w:b/>
                <w:szCs w:val="18"/>
                <w:lang w:val="en-US"/>
              </w:rPr>
              <w:t>Effect</w:t>
            </w:r>
            <w:r w:rsidRPr="00405719">
              <w:rPr>
                <w:rFonts w:ascii="Cambria" w:hAnsi="Cambria"/>
                <w:b/>
                <w:szCs w:val="18"/>
              </w:rPr>
              <w:t xml:space="preserve"> of </w:t>
            </w:r>
            <w:r w:rsidRPr="00405719">
              <w:rPr>
                <w:rFonts w:ascii="Cambria" w:hAnsi="Cambria"/>
                <w:b/>
                <w:szCs w:val="18"/>
                <w:lang w:val="en-US"/>
              </w:rPr>
              <w:t>Different</w:t>
            </w:r>
            <w:r w:rsidRPr="00405719">
              <w:rPr>
                <w:rFonts w:ascii="Cambria" w:hAnsi="Cambria"/>
                <w:b/>
                <w:szCs w:val="18"/>
              </w:rPr>
              <w:t xml:space="preserve"> </w:t>
            </w:r>
            <w:r w:rsidRPr="00405719">
              <w:rPr>
                <w:rFonts w:ascii="Cambria" w:hAnsi="Cambria"/>
                <w:b/>
                <w:szCs w:val="18"/>
                <w:lang w:val="en-US"/>
              </w:rPr>
              <w:t>Doses</w:t>
            </w:r>
            <w:r w:rsidRPr="00405719">
              <w:rPr>
                <w:rFonts w:ascii="Cambria" w:hAnsi="Cambria"/>
                <w:b/>
                <w:szCs w:val="18"/>
              </w:rPr>
              <w:t xml:space="preserve"> of </w:t>
            </w:r>
            <w:r w:rsidRPr="00405719">
              <w:rPr>
                <w:rFonts w:ascii="Cambria" w:hAnsi="Cambria"/>
                <w:b/>
                <w:szCs w:val="18"/>
                <w:lang w:val="en-US"/>
              </w:rPr>
              <w:t>Mistletoe</w:t>
            </w:r>
            <w:r w:rsidRPr="00405719">
              <w:rPr>
                <w:rFonts w:ascii="Cambria" w:hAnsi="Cambria"/>
                <w:b/>
                <w:szCs w:val="18"/>
              </w:rPr>
              <w:t xml:space="preserve"> Lectin-I on the Levels of Tumor Necrosis Factor-α, </w:t>
            </w:r>
            <w:r w:rsidRPr="00405719">
              <w:rPr>
                <w:rFonts w:ascii="Cambria" w:hAnsi="Cambria"/>
                <w:b/>
                <w:szCs w:val="18"/>
                <w:lang w:val="en-US"/>
              </w:rPr>
              <w:t>Nitric</w:t>
            </w:r>
            <w:r w:rsidRPr="00405719">
              <w:rPr>
                <w:rFonts w:ascii="Cambria" w:hAnsi="Cambria"/>
                <w:b/>
                <w:szCs w:val="18"/>
              </w:rPr>
              <w:t xml:space="preserve"> Oxide, Total Antioxidant and Oxidant Capacity in Rabbits</w:t>
            </w:r>
            <w:r>
              <w:rPr>
                <w:rFonts w:ascii="Cambria" w:hAnsi="Cambria"/>
                <w:b/>
                <w:szCs w:val="18"/>
              </w:rPr>
              <w:t>*</w:t>
            </w:r>
            <w:r w:rsidR="00D91119" w:rsidRPr="0086694F">
              <w:rPr>
                <w:rFonts w:ascii="Cambria" w:hAnsi="Cambria"/>
                <w:b/>
                <w:szCs w:val="18"/>
                <w:lang w:val="en-US"/>
              </w:rPr>
              <w:t xml:space="preserve"> </w:t>
            </w:r>
          </w:p>
        </w:tc>
      </w:tr>
      <w:tr w:rsidR="00E23C23" w:rsidRPr="00796A42" w:rsidTr="00340280">
        <w:tc>
          <w:tcPr>
            <w:tcW w:w="9889" w:type="dxa"/>
            <w:gridSpan w:val="5"/>
            <w:vAlign w:val="center"/>
          </w:tcPr>
          <w:p w:rsidR="00E23C23" w:rsidRPr="0086694F" w:rsidRDefault="00945151" w:rsidP="00340280">
            <w:pPr>
              <w:spacing w:before="120" w:after="120"/>
              <w:jc w:val="center"/>
              <w:rPr>
                <w:rFonts w:ascii="Cambria" w:hAnsi="Cambria"/>
                <w:sz w:val="22"/>
                <w:szCs w:val="22"/>
                <w:lang w:val="en-US"/>
              </w:rPr>
            </w:pPr>
            <w:r w:rsidRPr="00405719">
              <w:rPr>
                <w:rFonts w:ascii="Cambria" w:hAnsi="Cambria"/>
                <w:sz w:val="22"/>
                <w:szCs w:val="18"/>
              </w:rPr>
              <w:t xml:space="preserve">Ahmet </w:t>
            </w:r>
            <w:proofErr w:type="gramStart"/>
            <w:r w:rsidRPr="00405719">
              <w:rPr>
                <w:rFonts w:ascii="Cambria" w:hAnsi="Cambria"/>
                <w:sz w:val="22"/>
                <w:szCs w:val="18"/>
              </w:rPr>
              <w:t>HARMANKAYA</w:t>
            </w:r>
            <w:r w:rsidRPr="00405719">
              <w:rPr>
                <w:rFonts w:ascii="Cambria" w:hAnsi="Cambria"/>
                <w:sz w:val="22"/>
                <w:szCs w:val="18"/>
                <w:vertAlign w:val="superscript"/>
              </w:rPr>
              <w:t>1</w:t>
            </w:r>
            <w:r>
              <w:rPr>
                <w:rFonts w:ascii="Cambria" w:hAnsi="Cambria"/>
                <w:sz w:val="22"/>
                <w:szCs w:val="18"/>
              </w:rPr>
              <w:t xml:space="preserve">    </w:t>
            </w:r>
            <w:r w:rsidRPr="00405719">
              <w:rPr>
                <w:rFonts w:ascii="Cambria" w:hAnsi="Cambria"/>
                <w:sz w:val="22"/>
                <w:szCs w:val="18"/>
              </w:rPr>
              <w:t xml:space="preserve"> Ayla</w:t>
            </w:r>
            <w:proofErr w:type="gramEnd"/>
            <w:r w:rsidRPr="00405719">
              <w:rPr>
                <w:rFonts w:ascii="Cambria" w:hAnsi="Cambria"/>
                <w:sz w:val="22"/>
                <w:szCs w:val="18"/>
              </w:rPr>
              <w:t xml:space="preserve"> ÖZCAN </w:t>
            </w:r>
            <w:r w:rsidRPr="00405719">
              <w:rPr>
                <w:rFonts w:ascii="Cambria" w:hAnsi="Cambria"/>
                <w:sz w:val="22"/>
                <w:szCs w:val="18"/>
                <w:vertAlign w:val="superscript"/>
              </w:rPr>
              <w:t>2</w:t>
            </w:r>
          </w:p>
        </w:tc>
      </w:tr>
      <w:tr w:rsidR="00E23C23" w:rsidRPr="00796A42" w:rsidTr="00340280">
        <w:tc>
          <w:tcPr>
            <w:tcW w:w="9889" w:type="dxa"/>
            <w:gridSpan w:val="5"/>
            <w:vAlign w:val="center"/>
          </w:tcPr>
          <w:p w:rsidR="00E23C23" w:rsidRPr="0086694F" w:rsidRDefault="00945151" w:rsidP="00945151">
            <w:pPr>
              <w:spacing w:before="120"/>
              <w:jc w:val="center"/>
              <w:rPr>
                <w:rFonts w:ascii="Cambria" w:hAnsi="Cambria"/>
                <w:i/>
                <w:sz w:val="14"/>
                <w:szCs w:val="22"/>
                <w:lang w:val="en-US"/>
              </w:rPr>
            </w:pPr>
            <w:r w:rsidRPr="00945151">
              <w:rPr>
                <w:rFonts w:ascii="Cambria" w:hAnsi="Cambria" w:cs="Arial"/>
                <w:i/>
                <w:sz w:val="16"/>
                <w:szCs w:val="18"/>
                <w:vertAlign w:val="superscript"/>
                <w:lang w:val="en-US"/>
              </w:rPr>
              <w:t xml:space="preserve">1 </w:t>
            </w:r>
            <w:r>
              <w:rPr>
                <w:rFonts w:ascii="Cambria" w:hAnsi="Cambria" w:cs="Arial"/>
                <w:i/>
                <w:sz w:val="16"/>
                <w:szCs w:val="18"/>
                <w:lang w:val="en-US"/>
              </w:rPr>
              <w:t>Kafkas</w:t>
            </w:r>
            <w:r w:rsidR="007E13D9">
              <w:rPr>
                <w:rFonts w:ascii="Cambria" w:hAnsi="Cambria" w:cs="Arial"/>
                <w:i/>
                <w:sz w:val="16"/>
                <w:szCs w:val="18"/>
                <w:lang w:val="en-US"/>
              </w:rPr>
              <w:t xml:space="preserve"> </w:t>
            </w:r>
            <w:r w:rsidR="007E13D9" w:rsidRPr="0086694F">
              <w:rPr>
                <w:rFonts w:ascii="Cambria" w:hAnsi="Cambria" w:cs="Arial"/>
                <w:i/>
                <w:sz w:val="16"/>
                <w:szCs w:val="18"/>
                <w:lang w:val="en-US"/>
              </w:rPr>
              <w:t>University</w:t>
            </w:r>
            <w:r w:rsidR="00E23C23" w:rsidRPr="0086694F">
              <w:rPr>
                <w:rFonts w:ascii="Cambria" w:hAnsi="Cambria" w:cs="Arial"/>
                <w:i/>
                <w:sz w:val="16"/>
                <w:szCs w:val="18"/>
                <w:lang w:val="en-US"/>
              </w:rPr>
              <w:t xml:space="preserve">, </w:t>
            </w:r>
            <w:r w:rsidR="00D644B0" w:rsidRPr="0086694F">
              <w:rPr>
                <w:rFonts w:ascii="Cambria" w:hAnsi="Cambria" w:cs="Arial"/>
                <w:i/>
                <w:sz w:val="16"/>
                <w:szCs w:val="18"/>
                <w:lang w:val="en-US"/>
              </w:rPr>
              <w:t xml:space="preserve">Faculty of </w:t>
            </w:r>
            <w:r>
              <w:rPr>
                <w:rFonts w:ascii="Cambria" w:hAnsi="Cambria" w:cs="Arial"/>
                <w:i/>
                <w:sz w:val="16"/>
                <w:szCs w:val="18"/>
                <w:lang w:val="en-US"/>
              </w:rPr>
              <w:t>Science</w:t>
            </w:r>
            <w:r w:rsidR="00E23C23" w:rsidRPr="0086694F">
              <w:rPr>
                <w:rFonts w:ascii="Cambria" w:hAnsi="Cambria" w:cs="Arial"/>
                <w:i/>
                <w:sz w:val="16"/>
                <w:szCs w:val="18"/>
                <w:lang w:val="en-US"/>
              </w:rPr>
              <w:t xml:space="preserve">, </w:t>
            </w:r>
            <w:r w:rsidR="007E13D9" w:rsidRPr="0086694F">
              <w:rPr>
                <w:rFonts w:ascii="Cambria" w:hAnsi="Cambria" w:cs="Arial"/>
                <w:i/>
                <w:sz w:val="16"/>
                <w:szCs w:val="18"/>
                <w:lang w:val="en-US"/>
              </w:rPr>
              <w:t>Dep</w:t>
            </w:r>
            <w:r w:rsidR="007E13D9">
              <w:rPr>
                <w:rFonts w:ascii="Cambria" w:hAnsi="Cambria" w:cs="Arial"/>
                <w:i/>
                <w:sz w:val="16"/>
                <w:szCs w:val="18"/>
                <w:lang w:val="en-US"/>
              </w:rPr>
              <w:t>artment</w:t>
            </w:r>
            <w:r w:rsidR="007E13D9" w:rsidRPr="0086694F">
              <w:rPr>
                <w:rFonts w:ascii="Cambria" w:hAnsi="Cambria" w:cs="Arial"/>
                <w:i/>
                <w:sz w:val="16"/>
                <w:szCs w:val="18"/>
                <w:lang w:val="en-US"/>
              </w:rPr>
              <w:t xml:space="preserve"> </w:t>
            </w:r>
            <w:r w:rsidR="007E13D9">
              <w:rPr>
                <w:rFonts w:ascii="Cambria" w:hAnsi="Cambria" w:cs="Arial"/>
                <w:i/>
                <w:sz w:val="16"/>
                <w:szCs w:val="18"/>
                <w:lang w:val="en-US"/>
              </w:rPr>
              <w:t xml:space="preserve">of </w:t>
            </w:r>
            <w:r>
              <w:rPr>
                <w:rFonts w:ascii="Cambria" w:hAnsi="Cambria" w:cs="Arial"/>
                <w:i/>
                <w:sz w:val="16"/>
                <w:szCs w:val="18"/>
                <w:lang w:val="en-US"/>
              </w:rPr>
              <w:t>Chemistry</w:t>
            </w:r>
            <w:r w:rsidR="00E23C23" w:rsidRPr="0086694F">
              <w:rPr>
                <w:rFonts w:ascii="Cambria" w:hAnsi="Cambria" w:cs="Arial"/>
                <w:i/>
                <w:sz w:val="16"/>
                <w:szCs w:val="18"/>
                <w:lang w:val="en-US"/>
              </w:rPr>
              <w:t xml:space="preserve">, </w:t>
            </w:r>
            <w:r>
              <w:rPr>
                <w:rFonts w:ascii="Cambria" w:hAnsi="Cambria" w:cs="Arial"/>
                <w:i/>
                <w:sz w:val="16"/>
                <w:szCs w:val="18"/>
                <w:lang w:val="en-US"/>
              </w:rPr>
              <w:t>Kars</w:t>
            </w:r>
            <w:r w:rsidR="00E23C23" w:rsidRPr="0086694F">
              <w:rPr>
                <w:rFonts w:ascii="Cambria" w:hAnsi="Cambria" w:cs="Arial"/>
                <w:i/>
                <w:sz w:val="16"/>
                <w:szCs w:val="18"/>
                <w:lang w:val="en-US"/>
              </w:rPr>
              <w:t>, T</w:t>
            </w:r>
            <w:r w:rsidR="00D644B0" w:rsidRPr="0086694F">
              <w:rPr>
                <w:rFonts w:ascii="Cambria" w:hAnsi="Cambria" w:cs="Arial"/>
                <w:i/>
                <w:sz w:val="16"/>
                <w:szCs w:val="18"/>
                <w:lang w:val="en-US"/>
              </w:rPr>
              <w:t>urkey</w:t>
            </w:r>
            <w:r>
              <w:rPr>
                <w:rFonts w:ascii="Cambria" w:hAnsi="Cambria" w:cs="Arial"/>
                <w:i/>
                <w:sz w:val="16"/>
                <w:szCs w:val="18"/>
                <w:lang w:val="en-US"/>
              </w:rPr>
              <w:br/>
            </w:r>
            <w:r w:rsidRPr="00945151">
              <w:rPr>
                <w:rFonts w:ascii="Cambria" w:hAnsi="Cambria" w:cs="Arial"/>
                <w:i/>
                <w:sz w:val="16"/>
                <w:szCs w:val="18"/>
                <w:vertAlign w:val="superscript"/>
                <w:lang w:val="en-US"/>
              </w:rPr>
              <w:t>2</w:t>
            </w:r>
            <w:r>
              <w:rPr>
                <w:rFonts w:ascii="Cambria" w:hAnsi="Cambria" w:cs="Arial"/>
                <w:i/>
                <w:sz w:val="16"/>
                <w:szCs w:val="18"/>
                <w:lang w:val="en-US"/>
              </w:rPr>
              <w:t xml:space="preserve"> Kafkas </w:t>
            </w:r>
            <w:r w:rsidRPr="0086694F">
              <w:rPr>
                <w:rFonts w:ascii="Cambria" w:hAnsi="Cambria" w:cs="Arial"/>
                <w:i/>
                <w:sz w:val="16"/>
                <w:szCs w:val="18"/>
                <w:lang w:val="en-US"/>
              </w:rPr>
              <w:t>University, Faculty of Medicine, Dep</w:t>
            </w:r>
            <w:r>
              <w:rPr>
                <w:rFonts w:ascii="Cambria" w:hAnsi="Cambria" w:cs="Arial"/>
                <w:i/>
                <w:sz w:val="16"/>
                <w:szCs w:val="18"/>
                <w:lang w:val="en-US"/>
              </w:rPr>
              <w:t>artment</w:t>
            </w:r>
            <w:r w:rsidRPr="0086694F">
              <w:rPr>
                <w:rFonts w:ascii="Cambria" w:hAnsi="Cambria" w:cs="Arial"/>
                <w:i/>
                <w:sz w:val="16"/>
                <w:szCs w:val="18"/>
                <w:lang w:val="en-US"/>
              </w:rPr>
              <w:t xml:space="preserve"> </w:t>
            </w:r>
            <w:r>
              <w:rPr>
                <w:rFonts w:ascii="Cambria" w:hAnsi="Cambria" w:cs="Arial"/>
                <w:i/>
                <w:sz w:val="16"/>
                <w:szCs w:val="18"/>
                <w:lang w:val="en-US"/>
              </w:rPr>
              <w:t>of Biochemistry</w:t>
            </w:r>
            <w:r w:rsidRPr="0086694F">
              <w:rPr>
                <w:rFonts w:ascii="Cambria" w:hAnsi="Cambria" w:cs="Arial"/>
                <w:i/>
                <w:sz w:val="16"/>
                <w:szCs w:val="18"/>
                <w:lang w:val="en-US"/>
              </w:rPr>
              <w:t xml:space="preserve">, </w:t>
            </w:r>
            <w:r>
              <w:rPr>
                <w:rFonts w:ascii="Cambria" w:hAnsi="Cambria" w:cs="Arial"/>
                <w:i/>
                <w:sz w:val="16"/>
                <w:szCs w:val="18"/>
                <w:lang w:val="en-US"/>
              </w:rPr>
              <w:t>Kars</w:t>
            </w:r>
            <w:r w:rsidRPr="0086694F">
              <w:rPr>
                <w:rFonts w:ascii="Cambria" w:hAnsi="Cambria" w:cs="Arial"/>
                <w:i/>
                <w:sz w:val="16"/>
                <w:szCs w:val="18"/>
                <w:lang w:val="en-US"/>
              </w:rPr>
              <w:t>, Turkey</w:t>
            </w:r>
          </w:p>
        </w:tc>
      </w:tr>
      <w:tr w:rsidR="00E23C23" w:rsidRPr="00796A42" w:rsidTr="00340280">
        <w:tc>
          <w:tcPr>
            <w:tcW w:w="5070" w:type="dxa"/>
            <w:gridSpan w:val="2"/>
            <w:vAlign w:val="center"/>
          </w:tcPr>
          <w:p w:rsidR="00E23C23" w:rsidRPr="0086694F" w:rsidRDefault="00D644B0" w:rsidP="00340280">
            <w:pPr>
              <w:spacing w:before="120"/>
              <w:jc w:val="center"/>
              <w:rPr>
                <w:rFonts w:ascii="Cambria" w:hAnsi="Cambria"/>
                <w:sz w:val="16"/>
                <w:szCs w:val="22"/>
                <w:lang w:val="en-US"/>
              </w:rPr>
            </w:pPr>
            <w:r w:rsidRPr="0086694F">
              <w:rPr>
                <w:rFonts w:ascii="Cambria" w:hAnsi="Cambria"/>
                <w:sz w:val="16"/>
                <w:szCs w:val="22"/>
                <w:lang w:val="en-US"/>
              </w:rPr>
              <w:t>Received</w:t>
            </w:r>
            <w:r w:rsidR="00E23C23" w:rsidRPr="0086694F">
              <w:rPr>
                <w:rFonts w:ascii="Cambria" w:hAnsi="Cambria"/>
                <w:sz w:val="16"/>
                <w:szCs w:val="22"/>
                <w:lang w:val="en-US"/>
              </w:rPr>
              <w:t xml:space="preserve">: </w:t>
            </w:r>
            <w:r w:rsidR="00945151" w:rsidRPr="00405719">
              <w:rPr>
                <w:rFonts w:ascii="Cambria" w:hAnsi="Cambria"/>
                <w:sz w:val="16"/>
                <w:szCs w:val="18"/>
              </w:rPr>
              <w:t>12.01.2017</w:t>
            </w:r>
          </w:p>
        </w:tc>
        <w:tc>
          <w:tcPr>
            <w:tcW w:w="4819" w:type="dxa"/>
            <w:gridSpan w:val="3"/>
            <w:vAlign w:val="center"/>
          </w:tcPr>
          <w:p w:rsidR="00E23C23" w:rsidRPr="0086694F" w:rsidRDefault="00D644B0" w:rsidP="00340280">
            <w:pPr>
              <w:spacing w:before="120"/>
              <w:jc w:val="center"/>
              <w:rPr>
                <w:rFonts w:ascii="Cambria" w:hAnsi="Cambria"/>
                <w:sz w:val="16"/>
                <w:szCs w:val="22"/>
                <w:lang w:val="en-US"/>
              </w:rPr>
            </w:pPr>
            <w:r w:rsidRPr="0086694F">
              <w:rPr>
                <w:rFonts w:ascii="Cambria" w:hAnsi="Cambria"/>
                <w:sz w:val="16"/>
                <w:szCs w:val="22"/>
                <w:lang w:val="en-US"/>
              </w:rPr>
              <w:t>Accepted</w:t>
            </w:r>
            <w:r w:rsidR="00E23C23" w:rsidRPr="0086694F">
              <w:rPr>
                <w:rFonts w:ascii="Cambria" w:hAnsi="Cambria"/>
                <w:sz w:val="16"/>
                <w:szCs w:val="22"/>
                <w:lang w:val="en-US"/>
              </w:rPr>
              <w:t xml:space="preserve">: </w:t>
            </w:r>
            <w:r w:rsidR="00945151" w:rsidRPr="00405719">
              <w:rPr>
                <w:rFonts w:ascii="Cambria" w:hAnsi="Cambria"/>
                <w:sz w:val="16"/>
                <w:szCs w:val="18"/>
              </w:rPr>
              <w:t>04.04.2017</w:t>
            </w:r>
          </w:p>
        </w:tc>
      </w:tr>
      <w:tr w:rsidR="00E23C23" w:rsidRPr="00796A42" w:rsidTr="00340280">
        <w:tc>
          <w:tcPr>
            <w:tcW w:w="9889" w:type="dxa"/>
            <w:gridSpan w:val="5"/>
            <w:tcBorders>
              <w:bottom w:val="single" w:sz="12" w:space="0" w:color="C00000"/>
            </w:tcBorders>
          </w:tcPr>
          <w:p w:rsidR="00E23C23" w:rsidRPr="0086694F" w:rsidRDefault="00E23C23" w:rsidP="00340280">
            <w:pPr>
              <w:jc w:val="both"/>
              <w:rPr>
                <w:rFonts w:ascii="Cambria" w:hAnsi="Cambria"/>
                <w:sz w:val="20"/>
                <w:szCs w:val="22"/>
                <w:lang w:val="en-US"/>
              </w:rPr>
            </w:pPr>
          </w:p>
        </w:tc>
      </w:tr>
      <w:tr w:rsidR="00E23C23" w:rsidRPr="00DD1213" w:rsidTr="00340280">
        <w:tc>
          <w:tcPr>
            <w:tcW w:w="9889" w:type="dxa"/>
            <w:gridSpan w:val="5"/>
          </w:tcPr>
          <w:p w:rsidR="00E23C23" w:rsidRPr="0086694F" w:rsidRDefault="00E23C23" w:rsidP="00340280">
            <w:pPr>
              <w:jc w:val="both"/>
              <w:rPr>
                <w:rFonts w:ascii="Cambria" w:hAnsi="Cambria"/>
                <w:sz w:val="6"/>
                <w:szCs w:val="22"/>
                <w:lang w:val="en-US"/>
              </w:rPr>
            </w:pPr>
          </w:p>
        </w:tc>
      </w:tr>
      <w:tr w:rsidR="00E23C23" w:rsidRPr="00796A42" w:rsidTr="00E23C23">
        <w:trPr>
          <w:trHeight w:val="1984"/>
        </w:trPr>
        <w:tc>
          <w:tcPr>
            <w:tcW w:w="1242" w:type="dxa"/>
            <w:vMerge w:val="restart"/>
            <w:shd w:val="clear" w:color="auto" w:fill="FFFFFF" w:themeFill="background1"/>
          </w:tcPr>
          <w:p w:rsidR="00E23C23" w:rsidRPr="00D91119" w:rsidRDefault="00D91119" w:rsidP="00D91119">
            <w:pPr>
              <w:spacing w:before="60"/>
              <w:ind w:right="-108"/>
              <w:rPr>
                <w:rFonts w:ascii="Cambria" w:hAnsi="Cambria"/>
                <w:b/>
                <w:i/>
                <w:sz w:val="16"/>
                <w:szCs w:val="16"/>
                <w:lang w:val="en-US"/>
              </w:rPr>
            </w:pPr>
            <w:r w:rsidRPr="00796A42">
              <w:rPr>
                <w:rFonts w:ascii="Cambria" w:hAnsi="Cambria"/>
                <w:b/>
                <w:sz w:val="18"/>
                <w:szCs w:val="22"/>
              </w:rPr>
              <w:t>SUMMARY</w:t>
            </w:r>
          </w:p>
        </w:tc>
        <w:tc>
          <w:tcPr>
            <w:tcW w:w="8647" w:type="dxa"/>
            <w:gridSpan w:val="4"/>
          </w:tcPr>
          <w:p w:rsidR="00E23C23" w:rsidRPr="0086694F" w:rsidRDefault="00945151" w:rsidP="00340280">
            <w:pPr>
              <w:spacing w:before="60" w:after="60"/>
              <w:jc w:val="both"/>
              <w:rPr>
                <w:rFonts w:ascii="Cambria" w:hAnsi="Cambria"/>
                <w:sz w:val="18"/>
                <w:szCs w:val="18"/>
                <w:lang w:val="en-US"/>
              </w:rPr>
            </w:pPr>
            <w:r w:rsidRPr="00405719">
              <w:rPr>
                <w:rFonts w:ascii="Cambria" w:hAnsi="Cambria"/>
                <w:sz w:val="18"/>
                <w:szCs w:val="18"/>
              </w:rPr>
              <w:t>This paper aimed to investigate the effect of different doses of mistletoe lectin-I (ML-I) on the levels of tumor necrosis factor-α (TNF-α), nitric oxide (NO), total antioxidant and oxidant capacity (TAC, TOC). The rabbits were divided into 4 groups (Control, Group-I, II and III) each group contained 7 rabbits.  0.5, 1 and 2 ng/kg of ML-I were administered to treatment groups via intraperitoneal route, respectively. Plasmas of blood samples obtained in the 1</w:t>
            </w:r>
            <w:r w:rsidRPr="00405719">
              <w:rPr>
                <w:rFonts w:ascii="Cambria" w:hAnsi="Cambria"/>
                <w:sz w:val="18"/>
                <w:szCs w:val="18"/>
                <w:vertAlign w:val="superscript"/>
              </w:rPr>
              <w:t>st</w:t>
            </w:r>
            <w:r w:rsidRPr="00405719">
              <w:rPr>
                <w:rFonts w:ascii="Cambria" w:hAnsi="Cambria"/>
                <w:sz w:val="18"/>
                <w:szCs w:val="18"/>
              </w:rPr>
              <w:t>, 6</w:t>
            </w:r>
            <w:r w:rsidRPr="00405719">
              <w:rPr>
                <w:rFonts w:ascii="Cambria" w:hAnsi="Cambria"/>
                <w:sz w:val="18"/>
                <w:szCs w:val="18"/>
                <w:vertAlign w:val="superscript"/>
              </w:rPr>
              <w:t>st</w:t>
            </w:r>
            <w:r w:rsidRPr="00405719">
              <w:rPr>
                <w:rFonts w:ascii="Cambria" w:hAnsi="Cambria"/>
                <w:sz w:val="18"/>
                <w:szCs w:val="18"/>
              </w:rPr>
              <w:t>, 12</w:t>
            </w:r>
            <w:r w:rsidRPr="00405719">
              <w:rPr>
                <w:rFonts w:ascii="Cambria" w:hAnsi="Cambria"/>
                <w:sz w:val="18"/>
                <w:szCs w:val="18"/>
                <w:vertAlign w:val="superscript"/>
              </w:rPr>
              <w:t>th</w:t>
            </w:r>
            <w:r w:rsidRPr="00405719">
              <w:rPr>
                <w:rFonts w:ascii="Cambria" w:hAnsi="Cambria"/>
                <w:sz w:val="18"/>
                <w:szCs w:val="18"/>
              </w:rPr>
              <w:t xml:space="preserve"> and 24</w:t>
            </w:r>
            <w:r w:rsidRPr="00405719">
              <w:rPr>
                <w:rFonts w:ascii="Cambria" w:hAnsi="Cambria"/>
                <w:sz w:val="18"/>
                <w:szCs w:val="18"/>
                <w:vertAlign w:val="superscript"/>
              </w:rPr>
              <w:t>th</w:t>
            </w:r>
            <w:r w:rsidRPr="00405719">
              <w:rPr>
                <w:rFonts w:ascii="Cambria" w:hAnsi="Cambria"/>
                <w:sz w:val="18"/>
                <w:szCs w:val="18"/>
              </w:rPr>
              <w:t xml:space="preserve"> hours following injection were seperated. TNF-α level in the group treated with ML-I (</w:t>
            </w:r>
            <w:proofErr w:type="gramStart"/>
            <w:r w:rsidRPr="00405719">
              <w:rPr>
                <w:rFonts w:ascii="Cambria" w:hAnsi="Cambria"/>
                <w:sz w:val="18"/>
                <w:szCs w:val="18"/>
              </w:rPr>
              <w:t>0.5</w:t>
            </w:r>
            <w:proofErr w:type="gramEnd"/>
            <w:r w:rsidRPr="00405719">
              <w:rPr>
                <w:rFonts w:ascii="Cambria" w:hAnsi="Cambria"/>
                <w:sz w:val="18"/>
                <w:szCs w:val="18"/>
              </w:rPr>
              <w:t xml:space="preserve"> ng/kg) was higher than that of control and other lectin receiving groups at all hours, the highest value of TNF-α was reached at 1</w:t>
            </w:r>
            <w:r w:rsidRPr="00405719">
              <w:rPr>
                <w:rFonts w:ascii="Cambria" w:hAnsi="Cambria"/>
                <w:sz w:val="18"/>
                <w:szCs w:val="18"/>
                <w:vertAlign w:val="superscript"/>
              </w:rPr>
              <w:t>st</w:t>
            </w:r>
            <w:r w:rsidRPr="00405719">
              <w:rPr>
                <w:rFonts w:ascii="Cambria" w:hAnsi="Cambria"/>
                <w:sz w:val="18"/>
                <w:szCs w:val="18"/>
              </w:rPr>
              <w:t xml:space="preserve"> hour (p&lt;0.01). 0.5 and 1 ng/kg doses of lectin decreased NO level at 1</w:t>
            </w:r>
            <w:r w:rsidRPr="00405719">
              <w:rPr>
                <w:rFonts w:ascii="Cambria" w:hAnsi="Cambria"/>
                <w:sz w:val="18"/>
                <w:szCs w:val="18"/>
                <w:vertAlign w:val="superscript"/>
              </w:rPr>
              <w:t>st</w:t>
            </w:r>
            <w:r w:rsidRPr="00405719">
              <w:rPr>
                <w:rFonts w:ascii="Cambria" w:hAnsi="Cambria"/>
                <w:sz w:val="18"/>
                <w:szCs w:val="18"/>
              </w:rPr>
              <w:t xml:space="preserve"> hour compared to control group (p&lt;0.05), 1 and 2 ng/kg doses of lectin increased NO levels (p&lt;0.05) at 12</w:t>
            </w:r>
            <w:r w:rsidRPr="00405719">
              <w:rPr>
                <w:rFonts w:ascii="Cambria" w:hAnsi="Cambria"/>
                <w:sz w:val="18"/>
                <w:szCs w:val="18"/>
                <w:vertAlign w:val="superscript"/>
              </w:rPr>
              <w:t>th</w:t>
            </w:r>
            <w:r w:rsidRPr="00405719">
              <w:rPr>
                <w:rFonts w:ascii="Cambria" w:hAnsi="Cambria"/>
                <w:sz w:val="18"/>
                <w:szCs w:val="18"/>
              </w:rPr>
              <w:t xml:space="preserve"> hour, no statistically significant difference was found between the groups.</w:t>
            </w:r>
            <w:r w:rsidRPr="00405719">
              <w:rPr>
                <w:rFonts w:ascii="Cambria" w:hAnsi="Cambria"/>
                <w:color w:val="FF0000"/>
                <w:sz w:val="18"/>
                <w:szCs w:val="18"/>
              </w:rPr>
              <w:t xml:space="preserve"> </w:t>
            </w:r>
            <w:r w:rsidRPr="00405719">
              <w:rPr>
                <w:rFonts w:ascii="Cambria" w:hAnsi="Cambria"/>
                <w:sz w:val="18"/>
                <w:szCs w:val="18"/>
              </w:rPr>
              <w:t xml:space="preserve">In addition, TAC levels in samples obtained from the group given </w:t>
            </w:r>
            <w:proofErr w:type="gramStart"/>
            <w:r w:rsidRPr="00405719">
              <w:rPr>
                <w:rFonts w:ascii="Cambria" w:hAnsi="Cambria"/>
                <w:sz w:val="18"/>
                <w:szCs w:val="18"/>
              </w:rPr>
              <w:t>0.5</w:t>
            </w:r>
            <w:proofErr w:type="gramEnd"/>
            <w:r w:rsidRPr="00405719">
              <w:rPr>
                <w:rFonts w:ascii="Cambria" w:hAnsi="Cambria"/>
                <w:sz w:val="18"/>
                <w:szCs w:val="18"/>
              </w:rPr>
              <w:t xml:space="preserve"> ng/kg ML-I after 1 hour was statistically higher (p&lt;0.05) than the samples taken at 6</w:t>
            </w:r>
            <w:r w:rsidRPr="00405719">
              <w:rPr>
                <w:rFonts w:ascii="Cambria" w:hAnsi="Cambria"/>
                <w:sz w:val="18"/>
                <w:szCs w:val="18"/>
                <w:vertAlign w:val="superscript"/>
              </w:rPr>
              <w:t>th</w:t>
            </w:r>
            <w:r w:rsidRPr="00405719">
              <w:rPr>
                <w:rFonts w:ascii="Cambria" w:hAnsi="Cambria"/>
                <w:sz w:val="18"/>
                <w:szCs w:val="18"/>
              </w:rPr>
              <w:t>, 12</w:t>
            </w:r>
            <w:r w:rsidRPr="00405719">
              <w:rPr>
                <w:rFonts w:ascii="Cambria" w:hAnsi="Cambria"/>
                <w:sz w:val="18"/>
                <w:szCs w:val="18"/>
                <w:vertAlign w:val="superscript"/>
              </w:rPr>
              <w:t>th</w:t>
            </w:r>
            <w:r w:rsidRPr="00405719">
              <w:rPr>
                <w:rFonts w:ascii="Cambria" w:hAnsi="Cambria"/>
                <w:sz w:val="18"/>
                <w:szCs w:val="18"/>
              </w:rPr>
              <w:t xml:space="preserve"> and 24</w:t>
            </w:r>
            <w:r w:rsidRPr="00405719">
              <w:rPr>
                <w:rFonts w:ascii="Cambria" w:hAnsi="Cambria"/>
                <w:sz w:val="18"/>
                <w:szCs w:val="18"/>
                <w:vertAlign w:val="superscript"/>
              </w:rPr>
              <w:t>th</w:t>
            </w:r>
            <w:r w:rsidRPr="00405719">
              <w:rPr>
                <w:rFonts w:ascii="Cambria" w:hAnsi="Cambria"/>
                <w:sz w:val="18"/>
                <w:szCs w:val="18"/>
              </w:rPr>
              <w:t xml:space="preserve"> hours. No statistically significant change was found in the level of TOC among lectin receiving groups. In conclusion, ML-I at </w:t>
            </w:r>
            <w:proofErr w:type="gramStart"/>
            <w:r w:rsidRPr="00405719">
              <w:rPr>
                <w:rFonts w:ascii="Cambria" w:hAnsi="Cambria"/>
                <w:sz w:val="18"/>
                <w:szCs w:val="18"/>
              </w:rPr>
              <w:t>0.5</w:t>
            </w:r>
            <w:proofErr w:type="gramEnd"/>
            <w:r w:rsidRPr="00405719">
              <w:rPr>
                <w:rFonts w:ascii="Cambria" w:hAnsi="Cambria"/>
                <w:sz w:val="18"/>
                <w:szCs w:val="18"/>
              </w:rPr>
              <w:t xml:space="preserve"> ng/kg dose caused alterations in the levels of TNF-α and NO and showed an acute antioxidant effect.</w:t>
            </w:r>
          </w:p>
        </w:tc>
      </w:tr>
      <w:tr w:rsidR="00E23C23" w:rsidRPr="00796A42" w:rsidTr="00340280">
        <w:trPr>
          <w:trHeight w:val="227"/>
        </w:trPr>
        <w:tc>
          <w:tcPr>
            <w:tcW w:w="1242" w:type="dxa"/>
            <w:vMerge/>
            <w:shd w:val="clear" w:color="auto" w:fill="FFFFFF" w:themeFill="background1"/>
            <w:vAlign w:val="center"/>
          </w:tcPr>
          <w:p w:rsidR="00E23C23" w:rsidRPr="00786CAB" w:rsidRDefault="00E23C23" w:rsidP="00340280">
            <w:pPr>
              <w:ind w:right="-108"/>
              <w:jc w:val="center"/>
              <w:rPr>
                <w:rFonts w:ascii="Cambria" w:hAnsi="Cambria"/>
                <w:i/>
                <w:sz w:val="16"/>
                <w:szCs w:val="16"/>
              </w:rPr>
            </w:pPr>
          </w:p>
        </w:tc>
        <w:tc>
          <w:tcPr>
            <w:tcW w:w="8647" w:type="dxa"/>
            <w:gridSpan w:val="4"/>
            <w:vAlign w:val="center"/>
          </w:tcPr>
          <w:p w:rsidR="00E23C23" w:rsidRPr="00796A42" w:rsidRDefault="00D91119" w:rsidP="00340280">
            <w:pPr>
              <w:rPr>
                <w:rFonts w:ascii="Cambria" w:hAnsi="Cambria"/>
                <w:i/>
                <w:noProof/>
                <w:sz w:val="16"/>
                <w:szCs w:val="20"/>
              </w:rPr>
            </w:pPr>
            <w:r w:rsidRPr="00770168">
              <w:rPr>
                <w:rFonts w:ascii="Cambria" w:hAnsi="Cambria"/>
                <w:b/>
                <w:i/>
                <w:sz w:val="16"/>
                <w:szCs w:val="18"/>
                <w:lang w:val="en-US"/>
              </w:rPr>
              <w:t>Key Words:</w:t>
            </w:r>
            <w:r w:rsidRPr="00770168">
              <w:rPr>
                <w:rFonts w:ascii="Cambria" w:hAnsi="Cambria"/>
                <w:i/>
                <w:sz w:val="16"/>
                <w:szCs w:val="18"/>
                <w:lang w:val="en-US"/>
              </w:rPr>
              <w:t xml:space="preserve"> </w:t>
            </w:r>
            <w:r w:rsidR="00945151" w:rsidRPr="00405719">
              <w:rPr>
                <w:rFonts w:ascii="Cambria" w:hAnsi="Cambria"/>
                <w:i/>
                <w:sz w:val="16"/>
                <w:szCs w:val="18"/>
              </w:rPr>
              <w:t>Mistletoe Lectin-I, TNF-α, Nitric Oxide, Total Antioxidant and Oxidant Capacity</w:t>
            </w:r>
          </w:p>
        </w:tc>
      </w:tr>
      <w:tr w:rsidR="00E23C23" w:rsidRPr="00796A42" w:rsidTr="00340280">
        <w:trPr>
          <w:trHeight w:val="227"/>
        </w:trPr>
        <w:tc>
          <w:tcPr>
            <w:tcW w:w="1242" w:type="dxa"/>
            <w:tcBorders>
              <w:bottom w:val="single" w:sz="4" w:space="0" w:color="auto"/>
            </w:tcBorders>
            <w:shd w:val="clear" w:color="auto" w:fill="FFFFFF" w:themeFill="background1"/>
            <w:vAlign w:val="center"/>
          </w:tcPr>
          <w:p w:rsidR="00E23C23" w:rsidRPr="00786CAB" w:rsidRDefault="00E23C23" w:rsidP="0034028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796A42" w:rsidRDefault="00E23C23" w:rsidP="00340280">
            <w:pPr>
              <w:rPr>
                <w:rFonts w:ascii="Cambria" w:hAnsi="Cambria"/>
                <w:b/>
                <w:i/>
                <w:sz w:val="16"/>
                <w:szCs w:val="22"/>
              </w:rPr>
            </w:pPr>
          </w:p>
        </w:tc>
      </w:tr>
      <w:tr w:rsidR="00E23C23" w:rsidRPr="00796A42" w:rsidTr="00340280">
        <w:tc>
          <w:tcPr>
            <w:tcW w:w="1242" w:type="dxa"/>
            <w:tcBorders>
              <w:top w:val="single" w:sz="4" w:space="0" w:color="auto"/>
            </w:tcBorders>
            <w:shd w:val="clear" w:color="auto" w:fill="FFFFFF" w:themeFill="background1"/>
          </w:tcPr>
          <w:p w:rsidR="00E23C23" w:rsidRPr="00786CAB" w:rsidRDefault="00E23C23" w:rsidP="00340280">
            <w:pPr>
              <w:ind w:right="-108"/>
              <w:jc w:val="both"/>
              <w:rPr>
                <w:rFonts w:ascii="Cambria" w:hAnsi="Cambria"/>
                <w:b/>
                <w:sz w:val="16"/>
                <w:szCs w:val="16"/>
              </w:rPr>
            </w:pPr>
          </w:p>
        </w:tc>
        <w:tc>
          <w:tcPr>
            <w:tcW w:w="8647" w:type="dxa"/>
            <w:gridSpan w:val="4"/>
            <w:tcBorders>
              <w:top w:val="single" w:sz="4" w:space="0" w:color="000000"/>
            </w:tcBorders>
          </w:tcPr>
          <w:p w:rsidR="00E23C23" w:rsidRPr="00796A42" w:rsidRDefault="00E23C23" w:rsidP="00340280">
            <w:pPr>
              <w:jc w:val="both"/>
              <w:rPr>
                <w:rFonts w:ascii="Cambria" w:hAnsi="Cambria"/>
                <w:sz w:val="20"/>
                <w:szCs w:val="22"/>
              </w:rPr>
            </w:pPr>
          </w:p>
        </w:tc>
      </w:tr>
      <w:tr w:rsidR="00E23C23" w:rsidRPr="00D9772C" w:rsidTr="00340280">
        <w:tc>
          <w:tcPr>
            <w:tcW w:w="1242" w:type="dxa"/>
            <w:vMerge w:val="restart"/>
            <w:shd w:val="clear" w:color="auto" w:fill="FFFFFF" w:themeFill="background1"/>
          </w:tcPr>
          <w:p w:rsidR="00E23C23" w:rsidRPr="00786CAB" w:rsidRDefault="00D91119" w:rsidP="00D91119">
            <w:pPr>
              <w:spacing w:before="60"/>
              <w:ind w:right="-108"/>
              <w:rPr>
                <w:rFonts w:ascii="Cambria" w:hAnsi="Cambria"/>
                <w:b/>
                <w:sz w:val="16"/>
                <w:szCs w:val="16"/>
              </w:rPr>
            </w:pPr>
            <w:r w:rsidRPr="00796A42">
              <w:rPr>
                <w:rFonts w:ascii="Cambria" w:hAnsi="Cambria"/>
                <w:b/>
                <w:sz w:val="18"/>
                <w:szCs w:val="22"/>
              </w:rPr>
              <w:t>ÖZET</w:t>
            </w:r>
          </w:p>
        </w:tc>
        <w:tc>
          <w:tcPr>
            <w:tcW w:w="8647" w:type="dxa"/>
            <w:gridSpan w:val="4"/>
          </w:tcPr>
          <w:p w:rsidR="00E23C23" w:rsidRPr="00770168" w:rsidRDefault="00945151" w:rsidP="00340280">
            <w:pPr>
              <w:pStyle w:val="AralkYok"/>
              <w:jc w:val="both"/>
              <w:rPr>
                <w:rFonts w:ascii="Cambria" w:hAnsi="Cambria"/>
                <w:b/>
                <w:sz w:val="18"/>
                <w:szCs w:val="22"/>
                <w:lang w:val="en-US"/>
              </w:rPr>
            </w:pPr>
            <w:r w:rsidRPr="00405719">
              <w:rPr>
                <w:rFonts w:ascii="Cambria" w:hAnsi="Cambria"/>
                <w:b/>
                <w:bCs/>
                <w:sz w:val="22"/>
                <w:szCs w:val="18"/>
              </w:rPr>
              <w:t xml:space="preserve">Tavşanlarda Mistletoe Lektin-I’in Farklı Dozlarının </w:t>
            </w:r>
            <w:r w:rsidRPr="00405719">
              <w:rPr>
                <w:rFonts w:ascii="Cambria" w:hAnsi="Cambria"/>
                <w:b/>
                <w:sz w:val="22"/>
                <w:szCs w:val="18"/>
              </w:rPr>
              <w:t>Tümör Nekroz Faktör-α, Nitrik Oksit, Total Antioksidan ve Oksidan Kapasite Düzeylerine Etkisi</w:t>
            </w:r>
          </w:p>
        </w:tc>
      </w:tr>
      <w:tr w:rsidR="00E23C23" w:rsidRPr="00796A42" w:rsidTr="00340280">
        <w:tc>
          <w:tcPr>
            <w:tcW w:w="1242" w:type="dxa"/>
            <w:vMerge/>
            <w:shd w:val="clear" w:color="auto" w:fill="FFFFFF" w:themeFill="background1"/>
          </w:tcPr>
          <w:p w:rsidR="00E23C23" w:rsidRPr="00796A42" w:rsidRDefault="00E23C23" w:rsidP="00340280">
            <w:pPr>
              <w:spacing w:before="60" w:after="60"/>
              <w:ind w:right="-108"/>
              <w:jc w:val="both"/>
              <w:rPr>
                <w:rFonts w:ascii="Cambria" w:hAnsi="Cambria"/>
                <w:b/>
                <w:sz w:val="18"/>
                <w:szCs w:val="22"/>
              </w:rPr>
            </w:pPr>
          </w:p>
        </w:tc>
        <w:tc>
          <w:tcPr>
            <w:tcW w:w="8647" w:type="dxa"/>
            <w:gridSpan w:val="4"/>
          </w:tcPr>
          <w:p w:rsidR="00E23C23" w:rsidRPr="00770168" w:rsidRDefault="00945151" w:rsidP="00340280">
            <w:pPr>
              <w:pStyle w:val="AralkYok"/>
              <w:spacing w:before="60" w:after="60"/>
              <w:jc w:val="both"/>
              <w:rPr>
                <w:rFonts w:ascii="Cambria" w:hAnsi="Cambria"/>
                <w:szCs w:val="22"/>
                <w:lang w:val="en-US"/>
              </w:rPr>
            </w:pPr>
            <w:r w:rsidRPr="00405719">
              <w:rPr>
                <w:rFonts w:ascii="Cambria" w:hAnsi="Cambria"/>
                <w:sz w:val="18"/>
                <w:szCs w:val="18"/>
              </w:rPr>
              <w:t xml:space="preserve">Mistletoe lektin-I (ML-I)’in, farklı dozlarının tümör nekroz faktör-α (TNF-α), nitrik oksit (NO), total antioksidan ve oksidan kapasite (TAK, TOK) düzeylerine etkisinin araştırıldığı çalışmada, her birinde 7 adet tavşan bulunan, birisi kontrol olmak üzere 4 grup oluşturuldu. Gruplara sırasıyla </w:t>
            </w:r>
            <w:proofErr w:type="gramStart"/>
            <w:r w:rsidRPr="00405719">
              <w:rPr>
                <w:rFonts w:ascii="Cambria" w:hAnsi="Cambria"/>
                <w:sz w:val="18"/>
                <w:szCs w:val="18"/>
              </w:rPr>
              <w:t>0.5</w:t>
            </w:r>
            <w:proofErr w:type="gramEnd"/>
            <w:r w:rsidRPr="00405719">
              <w:rPr>
                <w:rFonts w:ascii="Cambria" w:hAnsi="Cambria"/>
                <w:sz w:val="18"/>
                <w:szCs w:val="18"/>
              </w:rPr>
              <w:t>, 1 ve 2 ng/kg ML-I intraperitonal (i.p.) olarak enjekte edildi. Enjeksiyonu takiben 1</w:t>
            </w:r>
            <w:proofErr w:type="gramStart"/>
            <w:r w:rsidRPr="00405719">
              <w:rPr>
                <w:rFonts w:ascii="Cambria" w:hAnsi="Cambria"/>
                <w:sz w:val="18"/>
                <w:szCs w:val="18"/>
              </w:rPr>
              <w:t>.,</w:t>
            </w:r>
            <w:proofErr w:type="gramEnd"/>
            <w:r w:rsidRPr="00405719">
              <w:rPr>
                <w:rFonts w:ascii="Cambria" w:hAnsi="Cambria"/>
                <w:sz w:val="18"/>
                <w:szCs w:val="18"/>
              </w:rPr>
              <w:t xml:space="preserve"> 6., 12. ve 24. saatlerde kan örnekleri alınarak plazmaları elde edildi. 0.5 ng/kg ML-I verilen grupta TNF-α düzeyinin bütün saatlerde kontrol ve diğer lektin gruplarına göre yüksek olmakla birlikte 1. saatte en yüksek değerine ulaştığı (p&lt;0.01) saptandı. 0.5 ve 1 ng/kg lektin dozlarının 1. saatte NO düzeyini azalttığı (p&lt;0.05), 1 ve 2 ng/kg lektin dozlarının 12. saatte NO düzeyini arttırdığı (p&lt;0.05), gruplar arasında istatistiksel olarak bir farkın oluşmadığı gözlendi. 0.5 ng/kg ML-I verilen gruptan alınan numunelerde, 1 saat sonra elde edilen TAK değerlerinin 6, 12 ve 24. saatlere göre istatistiksel olarak yüksek (p&lt;0.05) olduğu, TOK düzeylerinde istatistiksel olarak bir değişim olmadığı gözlemlendi. 0.5 ng/kg dozundaki ML-I’in TNF-α ve NO düzeylerinde değişiklik meydana getirmesi,  lektinin akut durumlarda antioksidan özellik gösterebileceği kanaatini oluşturdu.</w:t>
            </w:r>
          </w:p>
        </w:tc>
      </w:tr>
      <w:tr w:rsidR="00E23C23" w:rsidRPr="00796A42" w:rsidTr="00340280">
        <w:tc>
          <w:tcPr>
            <w:tcW w:w="1242" w:type="dxa"/>
            <w:vMerge/>
            <w:shd w:val="clear" w:color="auto" w:fill="FFFFFF" w:themeFill="background1"/>
            <w:vAlign w:val="center"/>
          </w:tcPr>
          <w:p w:rsidR="00E23C23" w:rsidRPr="00796A42" w:rsidRDefault="00E23C23" w:rsidP="00340280">
            <w:pPr>
              <w:ind w:right="-108"/>
              <w:jc w:val="center"/>
              <w:rPr>
                <w:rFonts w:ascii="Cambria" w:hAnsi="Cambria"/>
                <w:b/>
                <w:i/>
                <w:sz w:val="16"/>
                <w:szCs w:val="18"/>
                <w:lang w:val="en-US"/>
              </w:rPr>
            </w:pPr>
          </w:p>
        </w:tc>
        <w:tc>
          <w:tcPr>
            <w:tcW w:w="8647" w:type="dxa"/>
            <w:gridSpan w:val="4"/>
            <w:vAlign w:val="center"/>
          </w:tcPr>
          <w:p w:rsidR="00E23C23" w:rsidRPr="00770168" w:rsidRDefault="00D91119" w:rsidP="00D91119">
            <w:pPr>
              <w:rPr>
                <w:rFonts w:ascii="Cambria" w:hAnsi="Cambria"/>
                <w:i/>
                <w:sz w:val="16"/>
                <w:szCs w:val="18"/>
                <w:lang w:val="en-US"/>
              </w:rPr>
            </w:pPr>
            <w:r w:rsidRPr="00796A42">
              <w:rPr>
                <w:rFonts w:ascii="Cambria" w:hAnsi="Cambria"/>
                <w:b/>
                <w:i/>
                <w:sz w:val="16"/>
                <w:szCs w:val="22"/>
              </w:rPr>
              <w:t>Anahtar Kelimeler</w:t>
            </w:r>
            <w:r>
              <w:rPr>
                <w:rFonts w:ascii="Cambria" w:hAnsi="Cambria"/>
                <w:b/>
                <w:i/>
                <w:sz w:val="16"/>
                <w:szCs w:val="22"/>
              </w:rPr>
              <w:t>:</w:t>
            </w:r>
            <w:r w:rsidRPr="00796A42">
              <w:rPr>
                <w:rFonts w:ascii="Cambria" w:hAnsi="Cambria"/>
                <w:i/>
                <w:sz w:val="16"/>
                <w:szCs w:val="18"/>
              </w:rPr>
              <w:t xml:space="preserve"> </w:t>
            </w:r>
            <w:r w:rsidR="00945151" w:rsidRPr="00405719">
              <w:rPr>
                <w:rFonts w:ascii="Cambria" w:hAnsi="Cambria"/>
                <w:i/>
                <w:sz w:val="16"/>
                <w:szCs w:val="18"/>
              </w:rPr>
              <w:t>Mistletoe Lektin-I, TNF-α, Nitrik Oksit, Total Antioksidan ve Oksidan Kapasite</w:t>
            </w:r>
          </w:p>
        </w:tc>
      </w:tr>
      <w:tr w:rsidR="00E23C23" w:rsidRPr="00DD1213" w:rsidTr="00340280">
        <w:trPr>
          <w:trHeight w:val="113"/>
        </w:trPr>
        <w:tc>
          <w:tcPr>
            <w:tcW w:w="9889" w:type="dxa"/>
            <w:gridSpan w:val="5"/>
            <w:tcBorders>
              <w:bottom w:val="single" w:sz="12" w:space="0" w:color="9E0000"/>
            </w:tcBorders>
            <w:vAlign w:val="center"/>
          </w:tcPr>
          <w:p w:rsidR="00E23C23" w:rsidRPr="00DD1213" w:rsidRDefault="00E23C23" w:rsidP="00340280">
            <w:pPr>
              <w:rPr>
                <w:rFonts w:ascii="Cambria" w:hAnsi="Cambria"/>
                <w:i/>
                <w:sz w:val="4"/>
                <w:szCs w:val="18"/>
                <w:lang w:val="en-US"/>
              </w:rPr>
            </w:pPr>
          </w:p>
        </w:tc>
      </w:tr>
    </w:tbl>
    <w:p w:rsidR="00E23C23" w:rsidRDefault="00E23C23" w:rsidP="00A34A6D">
      <w:pPr>
        <w:jc w:val="both"/>
        <w:rPr>
          <w:rFonts w:ascii="Cambria" w:hAnsi="Cambria"/>
          <w:sz w:val="20"/>
          <w:szCs w:val="20"/>
        </w:rPr>
      </w:pPr>
    </w:p>
    <w:p w:rsidR="00B04E8C" w:rsidRPr="00833244" w:rsidRDefault="00B04E8C" w:rsidP="00A34A6D">
      <w:pPr>
        <w:jc w:val="both"/>
        <w:rPr>
          <w:rFonts w:ascii="Cambria" w:hAnsi="Cambria"/>
          <w:sz w:val="20"/>
          <w:szCs w:val="20"/>
        </w:rPr>
        <w:sectPr w:rsidR="00B04E8C" w:rsidRPr="00833244"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rsidR="00A34A6D" w:rsidRPr="00833244" w:rsidRDefault="00A34A6D" w:rsidP="00107AE8">
      <w:pPr>
        <w:spacing w:after="120"/>
        <w:rPr>
          <w:rFonts w:ascii="Cambria" w:hAnsi="Cambria"/>
          <w:b/>
          <w:sz w:val="20"/>
          <w:szCs w:val="20"/>
        </w:rPr>
      </w:pPr>
      <w:r w:rsidRPr="00833244">
        <w:rPr>
          <w:rFonts w:ascii="Cambria" w:hAnsi="Cambria"/>
          <w:b/>
          <w:sz w:val="20"/>
          <w:szCs w:val="20"/>
        </w:rPr>
        <w:lastRenderedPageBreak/>
        <w:t>GİRİŞ</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Lektinler, doğada virüslerden bakterilere ve bitkilerden hayvanlara kadar pek çok kaynakta bulunabilen, </w:t>
      </w:r>
      <w:proofErr w:type="gramStart"/>
      <w:r w:rsidRPr="00405719">
        <w:rPr>
          <w:rFonts w:ascii="Cambria" w:hAnsi="Cambria"/>
          <w:sz w:val="18"/>
          <w:szCs w:val="18"/>
        </w:rPr>
        <w:t>spesifik</w:t>
      </w:r>
      <w:proofErr w:type="gramEnd"/>
      <w:r w:rsidRPr="00405719">
        <w:rPr>
          <w:rFonts w:ascii="Cambria" w:hAnsi="Cambria"/>
          <w:sz w:val="18"/>
          <w:szCs w:val="18"/>
        </w:rPr>
        <w:t xml:space="preserve"> olarak belirli monosakkaritleri ve oligosakkaritleri bağlayan, immün kaynaklı olmayan proteinlerdir (Sandes ve ark. 2005; Zorlu ve ark. 2013; Danjolli ve Akşit 2016</w:t>
      </w:r>
      <w:proofErr w:type="gramStart"/>
      <w:r w:rsidRPr="00405719">
        <w:rPr>
          <w:rFonts w:ascii="Cambria" w:hAnsi="Cambria"/>
          <w:sz w:val="18"/>
          <w:szCs w:val="18"/>
        </w:rPr>
        <w:t>)</w:t>
      </w:r>
      <w:proofErr w:type="gramEnd"/>
      <w:r w:rsidRPr="00405719">
        <w:rPr>
          <w:rFonts w:ascii="Cambria" w:hAnsi="Cambria"/>
          <w:sz w:val="18"/>
          <w:szCs w:val="18"/>
        </w:rPr>
        <w:t xml:space="preserve">. Ökse otunda ML-I, II ve III olmak üzere 3 izolektin bulunmaktadır </w:t>
      </w:r>
      <w:proofErr w:type="gramStart"/>
      <w:r w:rsidRPr="00405719">
        <w:rPr>
          <w:rFonts w:ascii="Cambria" w:hAnsi="Cambria"/>
          <w:sz w:val="18"/>
          <w:szCs w:val="18"/>
        </w:rPr>
        <w:t>(</w:t>
      </w:r>
      <w:proofErr w:type="gramEnd"/>
      <w:r w:rsidRPr="00405719">
        <w:rPr>
          <w:rFonts w:ascii="Cambria" w:hAnsi="Cambria"/>
          <w:sz w:val="18"/>
          <w:szCs w:val="18"/>
        </w:rPr>
        <w:t xml:space="preserve">Franz ve ark. 1981). ML-I ‘in kanser </w:t>
      </w:r>
      <w:r w:rsidRPr="00405719">
        <w:rPr>
          <w:rFonts w:ascii="Cambria" w:hAnsi="Cambria"/>
          <w:sz w:val="18"/>
          <w:szCs w:val="18"/>
        </w:rPr>
        <w:lastRenderedPageBreak/>
        <w:t xml:space="preserve">hücreleri üzerinde sitotoksik etkiye sahip olduğu ve mekanizması henüz tam olarak açıklanmış olmasa da, lektinin B zincirinin hücreye bağlanıp, A zincirinin protein sentezini inhibe etmesi </w:t>
      </w:r>
      <w:proofErr w:type="gramStart"/>
      <w:r w:rsidRPr="00405719">
        <w:rPr>
          <w:rFonts w:ascii="Cambria" w:hAnsi="Cambria"/>
          <w:sz w:val="18"/>
          <w:szCs w:val="18"/>
        </w:rPr>
        <w:t>(</w:t>
      </w:r>
      <w:proofErr w:type="gramEnd"/>
      <w:r w:rsidRPr="00405719">
        <w:rPr>
          <w:rFonts w:ascii="Cambria" w:hAnsi="Cambria"/>
          <w:sz w:val="18"/>
          <w:szCs w:val="18"/>
        </w:rPr>
        <w:t xml:space="preserve">Stirpe ve ark. 1980; Büssing ve ark. 1999), granülosit, lenfosit ve doğal öldürücü (NK) hücre aktivasyonunu sağlaması (Büssing ve ark. 1999), golgi aygıtına hasar verme (Ziska ve ark. 1979), mitokondriden sitozole sit-c salınımını artırma (Bantel ve ark. 1999) ve telomeraz enzimini inhibe etme (Lyu ve ark. </w:t>
      </w:r>
      <w:r w:rsidRPr="00405719">
        <w:rPr>
          <w:rFonts w:ascii="Cambria" w:hAnsi="Cambria"/>
          <w:sz w:val="18"/>
          <w:szCs w:val="18"/>
        </w:rPr>
        <w:lastRenderedPageBreak/>
        <w:t xml:space="preserve">2002) gibi mekanizmalar ileri sürülmüştür. </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Makrofajlar, monositler, lenfositler, NK hücreleri, beynin mikroglial hücreleri ve karaciğerin kuppfer hücreleri gibi farklı hücrelerde sentezlenen sitokin olan TNF-α’nın, sentezini bakteriyel endotoksinler, enterotoksinler, toksin-1, mikobakteriyel kord faktörü, virüsler, C5a, mantarlar veya parazitik ajanlar, interlökinler ve interferonlar başlatabileceği bildirilmiştir (Odeh 1990). ML-I ile yapılan </w:t>
      </w:r>
      <w:r w:rsidRPr="00405719">
        <w:rPr>
          <w:rFonts w:ascii="Cambria" w:hAnsi="Cambria"/>
          <w:i/>
          <w:sz w:val="18"/>
          <w:szCs w:val="18"/>
        </w:rPr>
        <w:t>in vitro</w:t>
      </w:r>
      <w:r w:rsidRPr="00405719">
        <w:rPr>
          <w:rFonts w:ascii="Cambria" w:hAnsi="Cambria"/>
          <w:sz w:val="18"/>
          <w:szCs w:val="18"/>
        </w:rPr>
        <w:t xml:space="preserve"> çalışmalarda TNF-α, IFN-γ, IL-1, IL-6, IL-12 gibi inflamatuar sitokinlerin salınımını </w:t>
      </w:r>
      <w:proofErr w:type="gramStart"/>
      <w:r w:rsidRPr="00405719">
        <w:rPr>
          <w:rFonts w:ascii="Cambria" w:hAnsi="Cambria"/>
          <w:sz w:val="18"/>
          <w:szCs w:val="18"/>
        </w:rPr>
        <w:t>(</w:t>
      </w:r>
      <w:proofErr w:type="gramEnd"/>
      <w:r w:rsidRPr="00405719">
        <w:rPr>
          <w:rFonts w:ascii="Cambria" w:hAnsi="Cambria"/>
          <w:sz w:val="18"/>
          <w:szCs w:val="18"/>
        </w:rPr>
        <w:t xml:space="preserve">Hajto ve ark. 1990; Hajto ve ark. 1997), kullanılan hücre tipi ve hücrenin üretildiği ortama, lektinin </w:t>
      </w:r>
      <w:proofErr w:type="gramStart"/>
      <w:r w:rsidRPr="00405719">
        <w:rPr>
          <w:rFonts w:ascii="Cambria" w:hAnsi="Cambria"/>
          <w:sz w:val="18"/>
          <w:szCs w:val="18"/>
        </w:rPr>
        <w:t>konsantrasyonuna</w:t>
      </w:r>
      <w:proofErr w:type="gramEnd"/>
      <w:r w:rsidRPr="00405719">
        <w:rPr>
          <w:rFonts w:ascii="Cambria" w:hAnsi="Cambria"/>
          <w:sz w:val="18"/>
          <w:szCs w:val="18"/>
        </w:rPr>
        <w:t xml:space="preserve"> ve inkübasyon süresine göre değişen miktarda olmak üzere arttırdığı kaydedilmiştir (Mannel ve ark. 1991; Ribereau-Gayon ve ark. 1996; Park ve ark. 1999).</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ML-I’in serbest radikaller üzerine olan etkilerine bakılan </w:t>
      </w:r>
      <w:r w:rsidRPr="00405719">
        <w:rPr>
          <w:rFonts w:ascii="Cambria" w:hAnsi="Cambria"/>
          <w:i/>
          <w:sz w:val="18"/>
          <w:szCs w:val="18"/>
        </w:rPr>
        <w:t>in vivo</w:t>
      </w:r>
      <w:r w:rsidRPr="00405719">
        <w:rPr>
          <w:rFonts w:ascii="Cambria" w:hAnsi="Cambria"/>
          <w:sz w:val="18"/>
          <w:szCs w:val="18"/>
        </w:rPr>
        <w:t xml:space="preserve"> ve </w:t>
      </w:r>
      <w:r w:rsidRPr="00405719">
        <w:rPr>
          <w:rFonts w:ascii="Cambria" w:hAnsi="Cambria"/>
          <w:i/>
          <w:sz w:val="18"/>
          <w:szCs w:val="18"/>
        </w:rPr>
        <w:t>in vitro</w:t>
      </w:r>
      <w:r w:rsidRPr="00405719">
        <w:rPr>
          <w:rFonts w:ascii="Cambria" w:hAnsi="Cambria"/>
          <w:sz w:val="18"/>
          <w:szCs w:val="18"/>
        </w:rPr>
        <w:t xml:space="preserve"> çalışmalar sınırlı olmakla birlikte, farelerde </w:t>
      </w:r>
      <w:proofErr w:type="gramStart"/>
      <w:r w:rsidRPr="00405719">
        <w:rPr>
          <w:rFonts w:ascii="Cambria" w:hAnsi="Cambria"/>
          <w:sz w:val="18"/>
          <w:szCs w:val="18"/>
        </w:rPr>
        <w:t>(</w:t>
      </w:r>
      <w:proofErr w:type="gramEnd"/>
      <w:r w:rsidRPr="00405719">
        <w:rPr>
          <w:rFonts w:ascii="Cambria" w:hAnsi="Cambria"/>
          <w:iCs/>
          <w:sz w:val="18"/>
          <w:szCs w:val="18"/>
        </w:rPr>
        <w:t>Timoshenko ve ark. 2001</w:t>
      </w:r>
      <w:r w:rsidRPr="00405719">
        <w:rPr>
          <w:rFonts w:ascii="Cambria" w:hAnsi="Cambria"/>
          <w:sz w:val="18"/>
          <w:szCs w:val="18"/>
        </w:rPr>
        <w:t xml:space="preserve">) ve RAW </w:t>
      </w:r>
      <w:proofErr w:type="gramStart"/>
      <w:r w:rsidRPr="00405719">
        <w:rPr>
          <w:rFonts w:ascii="Cambria" w:hAnsi="Cambria"/>
          <w:sz w:val="18"/>
          <w:szCs w:val="18"/>
        </w:rPr>
        <w:t>264.7</w:t>
      </w:r>
      <w:proofErr w:type="gramEnd"/>
      <w:r w:rsidRPr="00405719">
        <w:rPr>
          <w:rFonts w:ascii="Cambria" w:hAnsi="Cambria"/>
          <w:sz w:val="18"/>
          <w:szCs w:val="18"/>
        </w:rPr>
        <w:t xml:space="preserve"> makrofajlarda (Kang ve ark. 2008) nitrik oksit (NO) salınımını uyardığı, sodyum nitroprussid (SNP) ile uyarılmış LLC-PK1 epitel hücrelerinde (Kim ve ark. 2010) ve lipopolisakkarit (LPS) ile uyarılmış (</w:t>
      </w:r>
      <w:r w:rsidRPr="00405719">
        <w:rPr>
          <w:rFonts w:ascii="Cambria" w:eastAsia="Arial Unicode MS" w:hAnsi="Cambria"/>
          <w:sz w:val="18"/>
          <w:szCs w:val="18"/>
        </w:rPr>
        <w:t>Lee ve ark. 2007</w:t>
      </w:r>
      <w:r w:rsidRPr="00405719">
        <w:rPr>
          <w:rFonts w:ascii="Cambria" w:hAnsi="Cambria"/>
          <w:sz w:val="18"/>
          <w:szCs w:val="18"/>
        </w:rPr>
        <w:t xml:space="preserve">) RAW </w:t>
      </w:r>
      <w:proofErr w:type="gramStart"/>
      <w:r w:rsidRPr="00405719">
        <w:rPr>
          <w:rFonts w:ascii="Cambria" w:hAnsi="Cambria"/>
          <w:sz w:val="18"/>
          <w:szCs w:val="18"/>
        </w:rPr>
        <w:t>264.7</w:t>
      </w:r>
      <w:proofErr w:type="gramEnd"/>
      <w:r w:rsidRPr="00405719">
        <w:rPr>
          <w:rFonts w:ascii="Cambria" w:hAnsi="Cambria"/>
          <w:sz w:val="18"/>
          <w:szCs w:val="18"/>
        </w:rPr>
        <w:t xml:space="preserve"> makrofajlarında NO süpürücü aktivitesinin olduğu, dolayısıyla da NO üzerine düzenleyici rolünün olduğu ileri sürülmüştür.</w:t>
      </w:r>
    </w:p>
    <w:p w:rsidR="0098388A" w:rsidRDefault="00945151" w:rsidP="00945151">
      <w:pPr>
        <w:spacing w:before="60" w:after="60"/>
        <w:jc w:val="both"/>
        <w:rPr>
          <w:rFonts w:ascii="Cambria" w:hAnsi="Cambria" w:cs="Quorum-Book"/>
          <w:sz w:val="18"/>
          <w:szCs w:val="18"/>
        </w:rPr>
      </w:pPr>
      <w:r w:rsidRPr="00405719">
        <w:rPr>
          <w:rFonts w:ascii="Cambria" w:hAnsi="Cambria"/>
          <w:bCs/>
          <w:sz w:val="18"/>
          <w:szCs w:val="18"/>
        </w:rPr>
        <w:t xml:space="preserve">Bu çalışmada </w:t>
      </w:r>
      <w:r w:rsidRPr="00405719">
        <w:rPr>
          <w:rFonts w:ascii="Cambria" w:hAnsi="Cambria"/>
          <w:sz w:val="18"/>
          <w:szCs w:val="18"/>
        </w:rPr>
        <w:t>sitotoksik ve immünomodülatör etkisinin olduğu bildirilen ML-I’in</w:t>
      </w:r>
      <w:r w:rsidRPr="00405719">
        <w:rPr>
          <w:rFonts w:ascii="Cambria" w:hAnsi="Cambria"/>
          <w:bCs/>
          <w:sz w:val="18"/>
          <w:szCs w:val="18"/>
        </w:rPr>
        <w:t xml:space="preserve">, </w:t>
      </w:r>
      <w:r w:rsidRPr="00405719">
        <w:rPr>
          <w:rFonts w:ascii="Cambria" w:hAnsi="Cambria"/>
          <w:sz w:val="18"/>
          <w:szCs w:val="18"/>
        </w:rPr>
        <w:t>farklı dozlarının tavşanlara intraperitonal yolla verilmesiyle</w:t>
      </w:r>
      <w:r w:rsidRPr="00405719">
        <w:rPr>
          <w:rFonts w:ascii="Cambria" w:hAnsi="Cambria"/>
          <w:bCs/>
          <w:sz w:val="18"/>
          <w:szCs w:val="18"/>
        </w:rPr>
        <w:t xml:space="preserve"> tümör nekroz faktör-α (TNF-α), nitrik oksit (NO), total antioksidan ve oksidan kapasite (</w:t>
      </w:r>
      <w:r w:rsidRPr="00405719">
        <w:rPr>
          <w:rFonts w:ascii="Cambria" w:hAnsi="Cambria"/>
          <w:sz w:val="18"/>
          <w:szCs w:val="18"/>
        </w:rPr>
        <w:t>TAK, TOK</w:t>
      </w:r>
      <w:r w:rsidRPr="00405719">
        <w:rPr>
          <w:rFonts w:ascii="Cambria" w:hAnsi="Cambria"/>
          <w:bCs/>
          <w:sz w:val="18"/>
          <w:szCs w:val="18"/>
        </w:rPr>
        <w:t>) düzeylerine etkisinin araştırılması amaçlandı.</w:t>
      </w:r>
    </w:p>
    <w:p w:rsidR="00A34A6D" w:rsidRPr="00E24CB2" w:rsidRDefault="00A34A6D" w:rsidP="006601DB">
      <w:pPr>
        <w:pBdr>
          <w:top w:val="single" w:sz="4" w:space="1" w:color="auto"/>
        </w:pBdr>
        <w:spacing w:before="240" w:after="120"/>
        <w:rPr>
          <w:rFonts w:ascii="Cambria" w:hAnsi="Cambria"/>
          <w:b/>
          <w:sz w:val="20"/>
          <w:szCs w:val="20"/>
        </w:rPr>
      </w:pPr>
      <w:r w:rsidRPr="00E24CB2">
        <w:rPr>
          <w:rFonts w:ascii="Cambria" w:hAnsi="Cambria"/>
          <w:b/>
          <w:sz w:val="20"/>
          <w:szCs w:val="20"/>
        </w:rPr>
        <w:t>M</w:t>
      </w:r>
      <w:r w:rsidR="004262C7" w:rsidRPr="00E24CB2">
        <w:rPr>
          <w:rFonts w:ascii="Cambria" w:hAnsi="Cambria"/>
          <w:b/>
          <w:sz w:val="20"/>
          <w:szCs w:val="20"/>
        </w:rPr>
        <w:t>ATERYAL ve</w:t>
      </w:r>
      <w:r w:rsidRPr="00E24CB2">
        <w:rPr>
          <w:rFonts w:ascii="Cambria" w:hAnsi="Cambria"/>
          <w:b/>
          <w:sz w:val="20"/>
          <w:szCs w:val="20"/>
        </w:rPr>
        <w:t xml:space="preserve"> METOT</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lang w:eastAsia="ar-SA"/>
        </w:rPr>
        <w:t xml:space="preserve">Çalışma materyalini oluşturan </w:t>
      </w:r>
      <w:r w:rsidRPr="00405719">
        <w:rPr>
          <w:rFonts w:ascii="Cambria" w:hAnsi="Cambria"/>
          <w:sz w:val="18"/>
          <w:szCs w:val="18"/>
        </w:rPr>
        <w:t xml:space="preserve">12-18 aylık, 28 adet Yeni Zelanda ırkı tavşan, üç hafta süre ile Kafkas Üniversitesi Deney Hayvanları Araştırma ve Uygulama Ünitesi’nde uyum sürecine alındı. Yem ve su </w:t>
      </w:r>
      <w:r w:rsidRPr="00405719">
        <w:rPr>
          <w:rFonts w:ascii="Cambria" w:hAnsi="Cambria"/>
          <w:i/>
          <w:sz w:val="18"/>
          <w:szCs w:val="18"/>
        </w:rPr>
        <w:t>ad libitum</w:t>
      </w:r>
      <w:r w:rsidRPr="00405719">
        <w:rPr>
          <w:rFonts w:ascii="Cambria" w:hAnsi="Cambria"/>
          <w:sz w:val="18"/>
          <w:szCs w:val="18"/>
        </w:rPr>
        <w:t xml:space="preserve"> olarak verildi. Üç hafta sonunda tartılarak, canlı ağırlık ortalaması 3.55±0.53 kg olarak belirlenen tavşanlar her birinde 7 adet olmak üzere dört gruba (Kontrol, Grup-I, II ve III ) ayrıldı. Kontrol grubundaki tavşanlara </w:t>
      </w:r>
      <w:proofErr w:type="gramStart"/>
      <w:r w:rsidRPr="00405719">
        <w:rPr>
          <w:rFonts w:ascii="Cambria" w:hAnsi="Cambria"/>
          <w:sz w:val="18"/>
          <w:szCs w:val="18"/>
        </w:rPr>
        <w:t>0.5</w:t>
      </w:r>
      <w:proofErr w:type="gramEnd"/>
      <w:r w:rsidRPr="00405719">
        <w:rPr>
          <w:rFonts w:ascii="Cambria" w:hAnsi="Cambria"/>
          <w:sz w:val="18"/>
          <w:szCs w:val="18"/>
        </w:rPr>
        <w:t xml:space="preserve"> ml/kg serum fizyolojik, grup-I, grup-II ve grup-III’teki tavşanlara sırasıyla 0.5, 1 ve 2 ng/kg ML-I intraperitonal (i.p.) olarak verildi. ML-I uygulamasından sonra 1</w:t>
      </w:r>
      <w:proofErr w:type="gramStart"/>
      <w:r w:rsidRPr="00405719">
        <w:rPr>
          <w:rFonts w:ascii="Cambria" w:hAnsi="Cambria"/>
          <w:sz w:val="18"/>
          <w:szCs w:val="18"/>
        </w:rPr>
        <w:t>.,</w:t>
      </w:r>
      <w:proofErr w:type="gramEnd"/>
      <w:r w:rsidRPr="00405719">
        <w:rPr>
          <w:rFonts w:ascii="Cambria" w:hAnsi="Cambria"/>
          <w:sz w:val="18"/>
          <w:szCs w:val="18"/>
        </w:rPr>
        <w:t xml:space="preserve"> 6., 12. ve 24. saatlerde tavşanların kulak venalarından heparinli tüplere alınan kanlar 3000 rpm’de 10 dakika santrifüj edilerek plazmaları ayrıldı ve  analizler yapılıncaya kadar -20 </w:t>
      </w:r>
      <w:r w:rsidRPr="00405719">
        <w:rPr>
          <w:rFonts w:ascii="Cambria" w:hAnsi="Cambria"/>
          <w:sz w:val="18"/>
          <w:szCs w:val="18"/>
          <w:vertAlign w:val="superscript"/>
        </w:rPr>
        <w:t>º</w:t>
      </w:r>
      <w:r w:rsidRPr="00405719">
        <w:rPr>
          <w:rFonts w:ascii="Cambria" w:hAnsi="Cambria"/>
          <w:sz w:val="18"/>
          <w:szCs w:val="18"/>
        </w:rPr>
        <w:t xml:space="preserve">C’de saklandı. Plazma TAK ve TOK düzeyleri ticari kitle (Rel Assay Diagnostics, Gaziantep-Türkiye, </w:t>
      </w:r>
      <w:r w:rsidRPr="00405719">
        <w:rPr>
          <w:rFonts w:ascii="Cambria" w:eastAsia="TimesNewRomanPSMT" w:hAnsi="Cambria"/>
          <w:sz w:val="18"/>
          <w:szCs w:val="18"/>
        </w:rPr>
        <w:t xml:space="preserve">Katalog No: </w:t>
      </w:r>
      <w:r w:rsidRPr="00405719">
        <w:rPr>
          <w:rFonts w:ascii="Cambria" w:hAnsi="Cambria"/>
          <w:sz w:val="18"/>
          <w:szCs w:val="18"/>
        </w:rPr>
        <w:t xml:space="preserve">RL0017, RL0024) kolorimetrik olarak, </w:t>
      </w:r>
      <w:r w:rsidRPr="00405719">
        <w:rPr>
          <w:rFonts w:ascii="Cambria" w:eastAsia="TimesNewRomanPSMT" w:hAnsi="Cambria"/>
          <w:sz w:val="18"/>
          <w:szCs w:val="18"/>
        </w:rPr>
        <w:t xml:space="preserve">TNF-α düzeyi ELISA (rabbit-TNF-α, R&amp;D System kiti, Katalog No: </w:t>
      </w:r>
      <w:r w:rsidRPr="00405719">
        <w:rPr>
          <w:rFonts w:ascii="Cambria" w:hAnsi="Cambria"/>
          <w:sz w:val="18"/>
          <w:szCs w:val="18"/>
        </w:rPr>
        <w:t>5670-TG-025</w:t>
      </w:r>
      <w:r w:rsidRPr="00405719">
        <w:rPr>
          <w:rFonts w:ascii="Cambria" w:eastAsia="TimesNewRomanPSMT" w:hAnsi="Cambria"/>
          <w:sz w:val="18"/>
          <w:szCs w:val="18"/>
        </w:rPr>
        <w:t xml:space="preserve"> ) kiti kullanılarak ölçüldü. </w:t>
      </w:r>
      <w:proofErr w:type="gramStart"/>
      <w:r w:rsidRPr="00405719">
        <w:rPr>
          <w:rFonts w:ascii="Cambria" w:eastAsia="TimesNewRomanPSMT" w:hAnsi="Cambria"/>
          <w:sz w:val="18"/>
          <w:szCs w:val="18"/>
        </w:rPr>
        <w:t xml:space="preserve">NO düzeyleri ise Miranda ve ark. </w:t>
      </w:r>
      <w:proofErr w:type="gramEnd"/>
      <w:r w:rsidRPr="00405719">
        <w:rPr>
          <w:rFonts w:ascii="Cambria" w:eastAsia="TimesNewRomanPSMT" w:hAnsi="Cambria"/>
          <w:sz w:val="18"/>
          <w:szCs w:val="18"/>
        </w:rPr>
        <w:t xml:space="preserve">(2001)’nın bildirdikleri yönteme göre tayin edildi. </w:t>
      </w:r>
    </w:p>
    <w:p w:rsidR="006601DB" w:rsidRPr="0062132F" w:rsidRDefault="00945151" w:rsidP="00945151">
      <w:pPr>
        <w:spacing w:before="60" w:after="60"/>
        <w:jc w:val="both"/>
        <w:rPr>
          <w:rFonts w:ascii="Cambria" w:hAnsi="Cambria"/>
          <w:sz w:val="18"/>
          <w:szCs w:val="18"/>
        </w:rPr>
      </w:pPr>
      <w:r w:rsidRPr="00405719">
        <w:rPr>
          <w:rFonts w:ascii="Cambria" w:hAnsi="Cambria"/>
          <w:sz w:val="18"/>
          <w:szCs w:val="18"/>
        </w:rPr>
        <w:t>Çalışmadan elde edilen verilerin istatistiksel analizinde SPSS.16 paket programı kullanıldı. Gruplar arasındaki ortalama değerler tek yönlü varyans analizi (ANOVA), gruplar arası farklılıklar Duncan testi ile belirlendi.</w:t>
      </w:r>
    </w:p>
    <w:p w:rsidR="00BE48EF" w:rsidRDefault="00BE48EF" w:rsidP="006601DB">
      <w:pPr>
        <w:pBdr>
          <w:top w:val="single" w:sz="4" w:space="1" w:color="auto"/>
        </w:pBdr>
        <w:spacing w:before="240" w:after="120"/>
        <w:rPr>
          <w:rFonts w:ascii="Cambria" w:hAnsi="Cambria"/>
          <w:b/>
          <w:sz w:val="20"/>
          <w:szCs w:val="20"/>
        </w:rPr>
      </w:pPr>
      <w:r w:rsidRPr="00833244">
        <w:rPr>
          <w:rFonts w:ascii="Cambria" w:hAnsi="Cambria"/>
          <w:b/>
          <w:sz w:val="20"/>
          <w:szCs w:val="20"/>
        </w:rPr>
        <w:t>BULGULAR</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Değişik dozlarda (</w:t>
      </w:r>
      <w:proofErr w:type="gramStart"/>
      <w:r w:rsidRPr="00405719">
        <w:rPr>
          <w:rFonts w:ascii="Cambria" w:hAnsi="Cambria"/>
          <w:sz w:val="18"/>
          <w:szCs w:val="18"/>
        </w:rPr>
        <w:t>0.5</w:t>
      </w:r>
      <w:proofErr w:type="gramEnd"/>
      <w:r w:rsidRPr="00405719">
        <w:rPr>
          <w:rFonts w:ascii="Cambria" w:hAnsi="Cambria"/>
          <w:sz w:val="18"/>
          <w:szCs w:val="18"/>
        </w:rPr>
        <w:t xml:space="preserve">, 1 ve 2 ng/kg) ML-I verilen tavşanlarda 1, 6, 12 ve 24 saat sonra alınan örneklere ait elde edilen sonuçlar Tablo 1’de ortalama (±) ve standart hata (x ± Sx) olarak sunulmuştur. </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Farklı dozlarda ML-I verilen gruplar kıyaslandığında; bütün grupların 12. saatteki TNF-α düzeylerinin kontrol </w:t>
      </w:r>
      <w:r w:rsidRPr="00405719">
        <w:rPr>
          <w:rFonts w:ascii="Cambria" w:hAnsi="Cambria"/>
          <w:sz w:val="18"/>
          <w:szCs w:val="18"/>
        </w:rPr>
        <w:lastRenderedPageBreak/>
        <w:t xml:space="preserve">grubuna göre istatistiksel olarak yüksek (p&lt;0.05) olduğu, 0.5 ng/kg ML-I verilen grubun TNF-α düzeylerinin 1, 6, </w:t>
      </w:r>
      <w:proofErr w:type="gramStart"/>
      <w:r w:rsidRPr="00405719">
        <w:rPr>
          <w:rFonts w:ascii="Cambria" w:hAnsi="Cambria"/>
          <w:sz w:val="18"/>
          <w:szCs w:val="18"/>
        </w:rPr>
        <w:t>12,</w:t>
      </w:r>
      <w:proofErr w:type="gramEnd"/>
      <w:r w:rsidRPr="00405719">
        <w:rPr>
          <w:rFonts w:ascii="Cambria" w:hAnsi="Cambria"/>
          <w:sz w:val="18"/>
          <w:szCs w:val="18"/>
        </w:rPr>
        <w:t xml:space="preserve"> ve 24. saatlerde diğer gruplara göre önemli bir artış (p&lt;0.01) gösterdiği gözlemlendi. Çalışmada kontrol ve ML-I verilen gruplardan alınan numuneler grup içi saatlere göre mukayese edildiğinde, 1, 6, 12 ve 24. saatlerdeki TNF-α düzeyleri arasında istatistiksel olarak herhangi bir değişimin olmadığı saptandı.</w:t>
      </w:r>
    </w:p>
    <w:p w:rsidR="00945151" w:rsidRDefault="00945151" w:rsidP="00945151">
      <w:pPr>
        <w:spacing w:before="60" w:after="60"/>
        <w:jc w:val="both"/>
        <w:rPr>
          <w:rFonts w:ascii="Cambria" w:hAnsi="Cambria"/>
          <w:sz w:val="18"/>
          <w:szCs w:val="18"/>
        </w:rPr>
      </w:pPr>
      <w:r w:rsidRPr="00405719">
        <w:rPr>
          <w:rFonts w:ascii="Cambria" w:hAnsi="Cambria"/>
          <w:sz w:val="18"/>
          <w:szCs w:val="18"/>
        </w:rPr>
        <w:t xml:space="preserve">Plazma NO düzeyleri kontrol grubuna göre kıyaslandığında; 1. saatte </w:t>
      </w:r>
      <w:proofErr w:type="gramStart"/>
      <w:r w:rsidRPr="00405719">
        <w:rPr>
          <w:rFonts w:ascii="Cambria" w:hAnsi="Cambria"/>
          <w:sz w:val="18"/>
          <w:szCs w:val="18"/>
        </w:rPr>
        <w:t>0.5</w:t>
      </w:r>
      <w:proofErr w:type="gramEnd"/>
      <w:r w:rsidRPr="00405719">
        <w:rPr>
          <w:rFonts w:ascii="Cambria" w:hAnsi="Cambria"/>
          <w:sz w:val="18"/>
          <w:szCs w:val="18"/>
        </w:rPr>
        <w:t xml:space="preserve"> ve 1 ng/kg ML-I verilen gruplarda istatistiksel olarak azalma (p&lt;0.05) gözlemlendi. Grup içi NO düzeyleri saatlere göre kıyaslandığında; 1 ve 2 ng/kg ML-I verilen gruplarda 12. saatte istatistiksel olarak bir artış (p&lt;0.05)  gözlenirken, </w:t>
      </w:r>
      <w:proofErr w:type="gramStart"/>
      <w:r w:rsidRPr="00405719">
        <w:rPr>
          <w:rFonts w:ascii="Cambria" w:hAnsi="Cambria"/>
          <w:sz w:val="18"/>
          <w:szCs w:val="18"/>
        </w:rPr>
        <w:t>0.5</w:t>
      </w:r>
      <w:proofErr w:type="gramEnd"/>
      <w:r w:rsidRPr="00405719">
        <w:rPr>
          <w:rFonts w:ascii="Cambria" w:hAnsi="Cambria"/>
          <w:sz w:val="18"/>
          <w:szCs w:val="18"/>
        </w:rPr>
        <w:t xml:space="preserve"> ng/kg ML-I verilen grupta istatistiksel olarak önemli olmayan bir artış belirlendi.</w:t>
      </w:r>
    </w:p>
    <w:p w:rsidR="00945151" w:rsidRDefault="00945151" w:rsidP="00945151">
      <w:pPr>
        <w:spacing w:before="60" w:after="60"/>
        <w:jc w:val="both"/>
        <w:rPr>
          <w:rFonts w:ascii="Cambria" w:hAnsi="Cambria"/>
          <w:sz w:val="18"/>
          <w:szCs w:val="18"/>
        </w:rPr>
      </w:pPr>
      <w:r w:rsidRPr="00405719">
        <w:rPr>
          <w:rFonts w:ascii="Cambria" w:hAnsi="Cambria"/>
          <w:sz w:val="18"/>
          <w:szCs w:val="18"/>
        </w:rPr>
        <w:t xml:space="preserve">Çalışmada </w:t>
      </w:r>
      <w:proofErr w:type="gramStart"/>
      <w:r w:rsidRPr="00405719">
        <w:rPr>
          <w:rFonts w:ascii="Cambria" w:hAnsi="Cambria"/>
          <w:sz w:val="18"/>
          <w:szCs w:val="18"/>
        </w:rPr>
        <w:t>0.5</w:t>
      </w:r>
      <w:proofErr w:type="gramEnd"/>
      <w:r w:rsidRPr="00405719">
        <w:rPr>
          <w:rFonts w:ascii="Cambria" w:hAnsi="Cambria"/>
          <w:sz w:val="18"/>
          <w:szCs w:val="18"/>
        </w:rPr>
        <w:t xml:space="preserve"> </w:t>
      </w:r>
      <w:r w:rsidRPr="00405719">
        <w:rPr>
          <w:rFonts w:ascii="Cambria" w:hAnsi="Cambria"/>
          <w:sz w:val="18"/>
          <w:szCs w:val="18"/>
          <w:shd w:val="clear" w:color="auto" w:fill="F9F9F9"/>
        </w:rPr>
        <w:t>ng</w:t>
      </w:r>
      <w:r w:rsidRPr="00405719">
        <w:rPr>
          <w:rFonts w:ascii="Cambria" w:hAnsi="Cambria"/>
          <w:sz w:val="18"/>
          <w:szCs w:val="18"/>
        </w:rPr>
        <w:t>/kg ML-I verilen grupta enjeksiyondan 1 saat sonra elde edilen TAK değerlerinin 6, 12 ve 24. saatlere göre istatistiksel olarak yüksek olduğu (p&lt;0.05) saptandı. Farklı dozlarda ML-I verilen grupların TOK düzeyleri saatlere ve kontrol grubuna göre kıyaslandığında istatistiksel olarak bir değişim gözlenmedi.</w:t>
      </w:r>
    </w:p>
    <w:p w:rsidR="00945151" w:rsidRPr="00E24CB2" w:rsidRDefault="00945151" w:rsidP="00945151">
      <w:pPr>
        <w:pBdr>
          <w:top w:val="single" w:sz="4" w:space="1" w:color="auto"/>
        </w:pBdr>
        <w:spacing w:before="240" w:after="120"/>
        <w:rPr>
          <w:rFonts w:ascii="Cambria" w:hAnsi="Cambria"/>
          <w:b/>
          <w:sz w:val="20"/>
          <w:szCs w:val="20"/>
        </w:rPr>
      </w:pPr>
      <w:r w:rsidRPr="00E24CB2">
        <w:rPr>
          <w:rFonts w:ascii="Cambria" w:hAnsi="Cambria"/>
          <w:b/>
          <w:sz w:val="20"/>
          <w:szCs w:val="20"/>
        </w:rPr>
        <w:t>TARTIŞMA ve SONUÇ</w:t>
      </w:r>
    </w:p>
    <w:p w:rsidR="00945151" w:rsidRPr="00405719" w:rsidRDefault="00945151" w:rsidP="00945151">
      <w:pPr>
        <w:spacing w:before="60" w:after="60"/>
        <w:jc w:val="both"/>
        <w:rPr>
          <w:rFonts w:ascii="Cambria" w:hAnsi="Cambria"/>
          <w:sz w:val="18"/>
          <w:szCs w:val="18"/>
        </w:rPr>
      </w:pPr>
      <w:r w:rsidRPr="00405719">
        <w:rPr>
          <w:rFonts w:ascii="Cambria" w:eastAsia="Times-Roman" w:hAnsi="Cambria"/>
          <w:sz w:val="18"/>
          <w:szCs w:val="18"/>
        </w:rPr>
        <w:t xml:space="preserve">Ökse otu ekstraktlarındaki </w:t>
      </w:r>
      <w:r w:rsidRPr="00405719">
        <w:rPr>
          <w:rFonts w:ascii="Cambria" w:hAnsi="Cambria"/>
          <w:sz w:val="18"/>
          <w:szCs w:val="18"/>
        </w:rPr>
        <w:t xml:space="preserve">ML-I’in TNF-α üretimini uyardığı </w:t>
      </w:r>
      <w:proofErr w:type="gramStart"/>
      <w:r w:rsidRPr="00405719">
        <w:rPr>
          <w:rFonts w:ascii="Cambria" w:hAnsi="Cambria"/>
          <w:sz w:val="18"/>
          <w:szCs w:val="18"/>
        </w:rPr>
        <w:t>(</w:t>
      </w:r>
      <w:proofErr w:type="gramEnd"/>
      <w:r w:rsidRPr="00405719">
        <w:rPr>
          <w:rFonts w:ascii="Cambria" w:hAnsi="Cambria"/>
          <w:sz w:val="18"/>
          <w:szCs w:val="18"/>
        </w:rPr>
        <w:t>Mannel ve ark. 1991) bu lektinin uzaklaştırılması ile sulu ekstraktın immünomodülatör aktivitesini tamamen yitirdiği bildirilmiştir (Beuth ve ark. 1995).</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Yapılan çalışmada </w:t>
      </w:r>
      <w:proofErr w:type="gramStart"/>
      <w:r w:rsidRPr="00405719">
        <w:rPr>
          <w:rFonts w:ascii="Cambria" w:hAnsi="Cambria"/>
          <w:sz w:val="18"/>
          <w:szCs w:val="18"/>
        </w:rPr>
        <w:t>0.5</w:t>
      </w:r>
      <w:proofErr w:type="gramEnd"/>
      <w:r w:rsidRPr="00405719">
        <w:rPr>
          <w:rFonts w:ascii="Cambria" w:hAnsi="Cambria"/>
          <w:sz w:val="18"/>
          <w:szCs w:val="18"/>
        </w:rPr>
        <w:t xml:space="preserve"> ng/kg ML-I verilen grupta TNF-α düzeyinin bütün saatlerde kontrol grubuna göre yüksek olmakla birlikte 1. saatte en yüksek değerine (p&lt;0.01) ulaştığı, diğer deneme gruplarında ise 12. saatte yüksek olduğu (p&lt;0.05) gözlendi. TNF-α düzeyinin ML-I etkisiyle yükselmesinin yapılan </w:t>
      </w:r>
      <w:r w:rsidRPr="00405719">
        <w:rPr>
          <w:rFonts w:ascii="Cambria" w:hAnsi="Cambria"/>
          <w:i/>
          <w:sz w:val="18"/>
          <w:szCs w:val="18"/>
        </w:rPr>
        <w:t>in vivo</w:t>
      </w:r>
      <w:r w:rsidRPr="00405719">
        <w:rPr>
          <w:rFonts w:ascii="Cambria" w:hAnsi="Cambria"/>
          <w:sz w:val="18"/>
          <w:szCs w:val="18"/>
        </w:rPr>
        <w:t xml:space="preserve"> ve </w:t>
      </w:r>
      <w:r w:rsidRPr="00405719">
        <w:rPr>
          <w:rFonts w:ascii="Cambria" w:hAnsi="Cambria"/>
          <w:i/>
          <w:sz w:val="18"/>
          <w:szCs w:val="18"/>
        </w:rPr>
        <w:t>in vitro</w:t>
      </w:r>
      <w:r w:rsidRPr="00405719">
        <w:rPr>
          <w:rFonts w:ascii="Cambria" w:hAnsi="Cambria"/>
          <w:sz w:val="18"/>
          <w:szCs w:val="18"/>
        </w:rPr>
        <w:t xml:space="preserve"> çalışmalarla </w:t>
      </w:r>
      <w:proofErr w:type="gramStart"/>
      <w:r w:rsidRPr="00405719">
        <w:rPr>
          <w:rFonts w:ascii="Cambria" w:hAnsi="Cambria"/>
          <w:sz w:val="18"/>
          <w:szCs w:val="18"/>
        </w:rPr>
        <w:t>(</w:t>
      </w:r>
      <w:proofErr w:type="gramEnd"/>
      <w:r w:rsidRPr="00405719">
        <w:rPr>
          <w:rFonts w:ascii="Cambria" w:hAnsi="Cambria"/>
          <w:sz w:val="18"/>
          <w:szCs w:val="18"/>
        </w:rPr>
        <w:t xml:space="preserve">Hajto ve ark. </w:t>
      </w:r>
      <w:r w:rsidRPr="00405719">
        <w:rPr>
          <w:rFonts w:ascii="Cambria" w:hAnsi="Cambria"/>
          <w:iCs/>
          <w:sz w:val="18"/>
          <w:szCs w:val="18"/>
        </w:rPr>
        <w:t>1990;</w:t>
      </w:r>
      <w:r w:rsidRPr="00405719">
        <w:rPr>
          <w:rFonts w:ascii="Cambria" w:hAnsi="Cambria"/>
          <w:sz w:val="18"/>
          <w:szCs w:val="18"/>
        </w:rPr>
        <w:t xml:space="preserve"> Mannel ve ark. 1991;</w:t>
      </w:r>
      <w:r w:rsidRPr="00405719">
        <w:rPr>
          <w:rFonts w:ascii="Cambria" w:hAnsi="Cambria"/>
          <w:iCs/>
          <w:sz w:val="18"/>
          <w:szCs w:val="18"/>
        </w:rPr>
        <w:t xml:space="preserve"> </w:t>
      </w:r>
      <w:r w:rsidRPr="00405719">
        <w:rPr>
          <w:rFonts w:ascii="Cambria" w:hAnsi="Cambria"/>
          <w:sz w:val="18"/>
          <w:szCs w:val="18"/>
        </w:rPr>
        <w:t>Ribereau-Gayon ve ark. 1996; Hajto ve ark.</w:t>
      </w:r>
      <w:r w:rsidRPr="00405719">
        <w:rPr>
          <w:rFonts w:ascii="Cambria" w:hAnsi="Cambria"/>
          <w:iCs/>
          <w:sz w:val="18"/>
          <w:szCs w:val="18"/>
        </w:rPr>
        <w:t xml:space="preserve"> 1997</w:t>
      </w:r>
      <w:r w:rsidRPr="00405719">
        <w:rPr>
          <w:rFonts w:ascii="Cambria" w:hAnsi="Cambria"/>
          <w:sz w:val="18"/>
          <w:szCs w:val="18"/>
        </w:rPr>
        <w:t>; Park ve ark. 1999; Boneberg ve Hartung 2001</w:t>
      </w:r>
      <w:proofErr w:type="gramStart"/>
      <w:r w:rsidRPr="00405719">
        <w:rPr>
          <w:rFonts w:ascii="Cambria" w:hAnsi="Cambria"/>
          <w:sz w:val="18"/>
          <w:szCs w:val="18"/>
        </w:rPr>
        <w:t>)</w:t>
      </w:r>
      <w:proofErr w:type="gramEnd"/>
      <w:r w:rsidRPr="00405719">
        <w:rPr>
          <w:rFonts w:ascii="Cambria" w:hAnsi="Cambria"/>
          <w:sz w:val="18"/>
          <w:szCs w:val="18"/>
        </w:rPr>
        <w:t xml:space="preserve"> uyumlu olduğu ancak etkileyen ML-I konsantrasyonlarında bir farklılık olduğu gözlendi.</w:t>
      </w:r>
    </w:p>
    <w:p w:rsidR="00945151" w:rsidRPr="00405719" w:rsidRDefault="00945151" w:rsidP="00945151">
      <w:pPr>
        <w:spacing w:before="60" w:after="60"/>
        <w:jc w:val="both"/>
        <w:rPr>
          <w:rFonts w:ascii="Cambria" w:hAnsi="Cambria"/>
          <w:sz w:val="18"/>
          <w:szCs w:val="18"/>
        </w:rPr>
      </w:pPr>
      <w:r w:rsidRPr="00405719">
        <w:rPr>
          <w:rFonts w:ascii="Cambria" w:hAnsi="Cambria"/>
          <w:sz w:val="18"/>
          <w:szCs w:val="18"/>
        </w:rPr>
        <w:t xml:space="preserve">Yapılan bazı çalışmalarda </w:t>
      </w:r>
      <w:proofErr w:type="gramStart"/>
      <w:r w:rsidRPr="00405719">
        <w:rPr>
          <w:rFonts w:ascii="Cambria" w:hAnsi="Cambria"/>
          <w:sz w:val="18"/>
          <w:szCs w:val="18"/>
        </w:rPr>
        <w:t>(</w:t>
      </w:r>
      <w:proofErr w:type="gramEnd"/>
      <w:r w:rsidRPr="00405719">
        <w:rPr>
          <w:rFonts w:ascii="Cambria" w:hAnsi="Cambria"/>
          <w:iCs/>
          <w:sz w:val="18"/>
          <w:szCs w:val="18"/>
        </w:rPr>
        <w:t>Biberstein ve ark. 1995</w:t>
      </w:r>
      <w:r w:rsidRPr="00405719">
        <w:rPr>
          <w:rFonts w:ascii="Cambria" w:hAnsi="Cambria"/>
          <w:sz w:val="18"/>
          <w:szCs w:val="18"/>
        </w:rPr>
        <w:t xml:space="preserve">; </w:t>
      </w:r>
      <w:r w:rsidRPr="00405719">
        <w:rPr>
          <w:rFonts w:ascii="Cambria" w:hAnsi="Cambria"/>
          <w:color w:val="000000"/>
          <w:sz w:val="18"/>
          <w:szCs w:val="18"/>
        </w:rPr>
        <w:t xml:space="preserve">Kurokawa ve ark. </w:t>
      </w:r>
      <w:r w:rsidRPr="00405719">
        <w:rPr>
          <w:rFonts w:ascii="Cambria" w:eastAsia="Calibri" w:hAnsi="Cambria"/>
          <w:color w:val="231F20"/>
          <w:sz w:val="18"/>
          <w:szCs w:val="18"/>
        </w:rPr>
        <w:t>2002</w:t>
      </w:r>
      <w:r w:rsidRPr="00405719">
        <w:rPr>
          <w:rFonts w:ascii="Cambria" w:hAnsi="Cambria"/>
          <w:sz w:val="18"/>
          <w:szCs w:val="18"/>
        </w:rPr>
        <w:t>) kanserli hastaların TNF-α düzeylerinin normal bireylere göre yüksek olduğu bildirilmiştir. Hajto ve ark. (1990) sekiz kanserli hastaya 1ng/kg dozundaki ML-I’i i.v. olarak enjekte ettiklerinde bu hastaların kanlarında TNF-α düzeyinin 3. saatte en yüksek değerine ulaştığını görmüşlerdir. Yapılan çalışma ile Hajto ve ark. (1990) yaptıkları çalışma arasındaki oluşan doz farkının lektin enjekte edilen kişilerin kanser olmasından kaynaklanabileceği kanaatini oluşturdu.</w:t>
      </w:r>
    </w:p>
    <w:p w:rsidR="001D06C6" w:rsidRDefault="00945151" w:rsidP="00945151">
      <w:pPr>
        <w:spacing w:before="60" w:after="60"/>
        <w:jc w:val="both"/>
        <w:rPr>
          <w:rFonts w:ascii="Cambria" w:hAnsi="Cambria"/>
          <w:sz w:val="18"/>
          <w:szCs w:val="18"/>
        </w:rPr>
      </w:pPr>
      <w:r w:rsidRPr="00405719">
        <w:rPr>
          <w:rFonts w:ascii="Cambria" w:hAnsi="Cambria"/>
          <w:sz w:val="18"/>
          <w:szCs w:val="18"/>
        </w:rPr>
        <w:t xml:space="preserve">ML-I’in immünomodülatör ve sitotoksik etkilerinin olup olmadığını araştırmak amacıyla yapılan </w:t>
      </w:r>
      <w:r w:rsidRPr="00405719">
        <w:rPr>
          <w:rFonts w:ascii="Cambria" w:hAnsi="Cambria"/>
          <w:i/>
          <w:sz w:val="18"/>
          <w:szCs w:val="18"/>
        </w:rPr>
        <w:t>in vitro</w:t>
      </w:r>
      <w:r w:rsidRPr="00405719">
        <w:rPr>
          <w:rFonts w:ascii="Cambria" w:hAnsi="Cambria"/>
          <w:sz w:val="18"/>
          <w:szCs w:val="18"/>
        </w:rPr>
        <w:t xml:space="preserve"> hücre kültürü denemelerinde lektin dozuna dair farklı konsantrasyonlar bildirilmiş, ML-I etkinliğinin, hücre serisi </w:t>
      </w:r>
      <w:proofErr w:type="gramStart"/>
      <w:r w:rsidRPr="00405719">
        <w:rPr>
          <w:rFonts w:ascii="Cambria" w:hAnsi="Cambria"/>
          <w:sz w:val="18"/>
          <w:szCs w:val="18"/>
        </w:rPr>
        <w:t>(</w:t>
      </w:r>
      <w:proofErr w:type="gramEnd"/>
      <w:r w:rsidRPr="00405719">
        <w:rPr>
          <w:rFonts w:ascii="Cambria" w:hAnsi="Cambria"/>
          <w:sz w:val="18"/>
          <w:szCs w:val="18"/>
        </w:rPr>
        <w:t>Timoshenko ve ark. 1995; Büssing ve ark. 1997</w:t>
      </w:r>
      <w:r w:rsidRPr="00405719">
        <w:rPr>
          <w:rFonts w:ascii="Cambria" w:hAnsi="Cambria"/>
          <w:bCs/>
          <w:kern w:val="36"/>
          <w:sz w:val="18"/>
          <w:szCs w:val="18"/>
        </w:rPr>
        <w:t xml:space="preserve">; </w:t>
      </w:r>
      <w:r w:rsidRPr="00405719">
        <w:rPr>
          <w:rFonts w:ascii="Cambria" w:hAnsi="Cambria"/>
          <w:sz w:val="18"/>
          <w:szCs w:val="18"/>
        </w:rPr>
        <w:t>Park ve ark. 1999) ve kullanılan katkılara (Timoshenko ve ark. 1995; Park ve ark. 1999), ortamın pirojen faktörlerle kontamine olup olmamasına (Boneberg ve Hartung 2001) göre de</w:t>
      </w:r>
      <w:r>
        <w:rPr>
          <w:rFonts w:ascii="Cambria" w:hAnsi="Cambria"/>
          <w:sz w:val="18"/>
          <w:szCs w:val="18"/>
        </w:rPr>
        <w:t xml:space="preserve">ğişebildiği ileri sürülmüştür. </w:t>
      </w:r>
    </w:p>
    <w:p w:rsidR="00945151" w:rsidRDefault="00945151" w:rsidP="00945151">
      <w:pPr>
        <w:spacing w:before="60" w:after="60"/>
        <w:jc w:val="both"/>
        <w:rPr>
          <w:rFonts w:ascii="Cambria" w:hAnsi="Cambria"/>
          <w:sz w:val="18"/>
          <w:szCs w:val="18"/>
        </w:rPr>
      </w:pPr>
      <w:r w:rsidRPr="00405719">
        <w:rPr>
          <w:rFonts w:ascii="Cambria" w:hAnsi="Cambria"/>
          <w:sz w:val="18"/>
          <w:szCs w:val="18"/>
        </w:rPr>
        <w:t>Hajto ve ark. (</w:t>
      </w:r>
      <w:r w:rsidRPr="00405719">
        <w:rPr>
          <w:rFonts w:ascii="Cambria" w:hAnsi="Cambria"/>
          <w:iCs/>
          <w:sz w:val="18"/>
          <w:szCs w:val="18"/>
        </w:rPr>
        <w:t>1997</w:t>
      </w:r>
      <w:r w:rsidRPr="00405719">
        <w:rPr>
          <w:rFonts w:ascii="Cambria" w:hAnsi="Cambria"/>
          <w:sz w:val="18"/>
          <w:szCs w:val="18"/>
        </w:rPr>
        <w:t xml:space="preserve">), yaptıkları </w:t>
      </w:r>
      <w:r w:rsidRPr="00405719">
        <w:rPr>
          <w:rFonts w:ascii="Cambria" w:hAnsi="Cambria"/>
          <w:i/>
          <w:sz w:val="18"/>
          <w:szCs w:val="18"/>
        </w:rPr>
        <w:t>in vitro</w:t>
      </w:r>
      <w:r w:rsidRPr="00405719">
        <w:rPr>
          <w:rFonts w:ascii="Cambria" w:hAnsi="Cambria"/>
          <w:sz w:val="18"/>
          <w:szCs w:val="18"/>
        </w:rPr>
        <w:t xml:space="preserve"> hücre kültürü çalışmada, aralarında TNF-α’nında bulunduğu çeşitli sitokinlerin salınımındaki en fazla artışın10 ng/ml ML-I dozunda olduğunu gözlemlemişlerdir. İnsan monositlerinin </w:t>
      </w:r>
      <w:r w:rsidRPr="00405719">
        <w:rPr>
          <w:rFonts w:ascii="Cambria" w:hAnsi="Cambria"/>
          <w:i/>
          <w:sz w:val="18"/>
          <w:szCs w:val="18"/>
        </w:rPr>
        <w:t>in vitro</w:t>
      </w:r>
      <w:r w:rsidRPr="00405719">
        <w:rPr>
          <w:rFonts w:ascii="Cambria" w:hAnsi="Cambria"/>
          <w:sz w:val="18"/>
          <w:szCs w:val="18"/>
        </w:rPr>
        <w:t xml:space="preserve"> ortamda 0.02-2000 pg/ml ML-I ile 18 saat inkübe edilmesi sonucu en yüksek TNF-α salınımının 0.02 pg/ml lektin konsantrasyonunda olduğu bildirilmiş, yüksek konsantrasyonlarda TNF-α salınımının </w:t>
      </w:r>
      <w:r w:rsidRPr="00405719">
        <w:rPr>
          <w:rFonts w:ascii="Cambria" w:hAnsi="Cambria"/>
          <w:sz w:val="18"/>
          <w:szCs w:val="18"/>
        </w:rPr>
        <w:lastRenderedPageBreak/>
        <w:t xml:space="preserve">azalmasının ise lektinin toksik etkisine ve/veya artan TNF-α’nın hücreleri öldürebileceği nedenine bağlanmış ayrıca kültür ortamında sığır serumu kullanılmamasının çok düşük lektin konsantrasyonunda olumlu sonuç elde edilmesinin bir sebebi olabileceği ileri sürülmüştür </w:t>
      </w:r>
      <w:proofErr w:type="gramStart"/>
      <w:r w:rsidRPr="00405719">
        <w:rPr>
          <w:rFonts w:ascii="Cambria" w:hAnsi="Cambria"/>
          <w:sz w:val="18"/>
          <w:szCs w:val="18"/>
        </w:rPr>
        <w:t>(</w:t>
      </w:r>
      <w:proofErr w:type="gramEnd"/>
      <w:r w:rsidRPr="00405719">
        <w:rPr>
          <w:rFonts w:ascii="Cambria" w:hAnsi="Cambria"/>
          <w:sz w:val="18"/>
          <w:szCs w:val="18"/>
        </w:rPr>
        <w:t>Ribereau-Gayon ve ark. 1996).</w:t>
      </w:r>
    </w:p>
    <w:p w:rsidR="00467887" w:rsidRPr="00F87F42" w:rsidRDefault="00467887" w:rsidP="00945151">
      <w:pPr>
        <w:spacing w:before="60" w:after="60"/>
        <w:jc w:val="both"/>
        <w:rPr>
          <w:rFonts w:ascii="Cambria" w:hAnsi="Cambria"/>
          <w:sz w:val="18"/>
          <w:szCs w:val="18"/>
        </w:rPr>
      </w:pPr>
      <w:r w:rsidRPr="00405719">
        <w:rPr>
          <w:rFonts w:ascii="Cambria" w:hAnsi="Cambria"/>
          <w:sz w:val="18"/>
          <w:szCs w:val="18"/>
        </w:rPr>
        <w:t xml:space="preserve">Yapılan çalışmada TNF-α salınımını en fazla etkileyen </w:t>
      </w:r>
      <w:proofErr w:type="gramStart"/>
      <w:r w:rsidRPr="00405719">
        <w:rPr>
          <w:rFonts w:ascii="Cambria" w:hAnsi="Cambria"/>
          <w:sz w:val="18"/>
          <w:szCs w:val="18"/>
        </w:rPr>
        <w:t>0.5</w:t>
      </w:r>
      <w:proofErr w:type="gramEnd"/>
      <w:r w:rsidRPr="00405719">
        <w:rPr>
          <w:rFonts w:ascii="Cambria" w:hAnsi="Cambria"/>
          <w:sz w:val="18"/>
          <w:szCs w:val="18"/>
        </w:rPr>
        <w:t xml:space="preserve"> ng/kg’lık lektin dozunun Ribereau-Gayon ve ark. (1996) yaptığı çalışmadaki lektin dozunun çok üzerinde olması </w:t>
      </w:r>
      <w:r w:rsidRPr="00405719">
        <w:rPr>
          <w:rFonts w:ascii="Cambria" w:hAnsi="Cambria"/>
          <w:sz w:val="18"/>
          <w:szCs w:val="18"/>
        </w:rPr>
        <w:lastRenderedPageBreak/>
        <w:t xml:space="preserve">lektinin </w:t>
      </w:r>
      <w:r w:rsidRPr="00405719">
        <w:rPr>
          <w:rFonts w:ascii="Cambria" w:hAnsi="Cambria"/>
          <w:i/>
          <w:sz w:val="18"/>
          <w:szCs w:val="18"/>
        </w:rPr>
        <w:t>in vivo</w:t>
      </w:r>
      <w:r w:rsidRPr="00405719">
        <w:rPr>
          <w:rFonts w:ascii="Cambria" w:hAnsi="Cambria"/>
          <w:sz w:val="18"/>
          <w:szCs w:val="18"/>
        </w:rPr>
        <w:t xml:space="preserve"> ortamda bağlanabilecek daha fazla glikoligandın olduğu kanaatini oluşturdu, yine Timoshenko ve ark. (1995) nötrofil kültür ortamına kan plazması eklediklerinde nötrofil agregasyonunda ve üretilen H</w:t>
      </w:r>
      <w:r w:rsidRPr="00405719">
        <w:rPr>
          <w:rFonts w:ascii="Cambria" w:hAnsi="Cambria"/>
          <w:sz w:val="18"/>
          <w:szCs w:val="18"/>
          <w:vertAlign w:val="subscript"/>
        </w:rPr>
        <w:t>2</w:t>
      </w:r>
      <w:r w:rsidRPr="00405719">
        <w:rPr>
          <w:rFonts w:ascii="Cambria" w:hAnsi="Cambria"/>
          <w:sz w:val="18"/>
          <w:szCs w:val="18"/>
        </w:rPr>
        <w:t>O</w:t>
      </w:r>
      <w:r w:rsidRPr="00405719">
        <w:rPr>
          <w:rFonts w:ascii="Cambria" w:hAnsi="Cambria"/>
          <w:sz w:val="18"/>
          <w:szCs w:val="18"/>
          <w:vertAlign w:val="subscript"/>
        </w:rPr>
        <w:t xml:space="preserve">2 </w:t>
      </w:r>
      <w:r w:rsidRPr="00405719">
        <w:rPr>
          <w:rFonts w:ascii="Cambria" w:hAnsi="Cambria"/>
          <w:sz w:val="18"/>
          <w:szCs w:val="18"/>
        </w:rPr>
        <w:t>miktarında azalma olmasının, ML-I’in kültür ortamındaki hücrelerden başka bağlanabilecek glikoligandlarında olduğunu ileri sürmeleri bu kanaati destekledi.</w:t>
      </w:r>
    </w:p>
    <w:p w:rsidR="00F87F42" w:rsidRPr="00751D35" w:rsidRDefault="00F87F42" w:rsidP="00751D35">
      <w:pPr>
        <w:shd w:val="clear" w:color="auto" w:fill="FFFFFF"/>
        <w:spacing w:before="60" w:after="60"/>
        <w:jc w:val="both"/>
        <w:rPr>
          <w:rFonts w:ascii="Cambria" w:hAnsi="Cambria"/>
          <w:color w:val="000000"/>
          <w:sz w:val="18"/>
          <w:szCs w:val="18"/>
        </w:rPr>
      </w:pPr>
    </w:p>
    <w:p w:rsidR="0063650D" w:rsidRDefault="0063650D" w:rsidP="00447240">
      <w:pPr>
        <w:spacing w:before="60" w:after="60"/>
        <w:rPr>
          <w:rFonts w:ascii="Cambria" w:hAnsi="Cambria"/>
          <w:b/>
          <w:sz w:val="20"/>
          <w:szCs w:val="20"/>
        </w:rPr>
        <w:sectPr w:rsidR="0063650D" w:rsidSect="00F97543">
          <w:type w:val="continuous"/>
          <w:pgSz w:w="11906" w:h="16838"/>
          <w:pgMar w:top="1134" w:right="1134" w:bottom="1134" w:left="1134" w:header="709" w:footer="709" w:gutter="0"/>
          <w:cols w:num="2" w:space="567"/>
          <w:docGrid w:linePitch="360"/>
        </w:sectPr>
      </w:pPr>
    </w:p>
    <w:p w:rsidR="00F87F42" w:rsidRDefault="00F87F42" w:rsidP="00770168">
      <w:pPr>
        <w:spacing w:before="60" w:after="60"/>
        <w:jc w:val="both"/>
        <w:rPr>
          <w:rFonts w:ascii="Cambria" w:hAnsi="Cambria"/>
          <w:b/>
          <w:sz w:val="18"/>
          <w:szCs w:val="18"/>
        </w:rPr>
      </w:pPr>
    </w:p>
    <w:p w:rsidR="00467887" w:rsidRPr="00405719" w:rsidRDefault="00467887" w:rsidP="00467887">
      <w:pPr>
        <w:pStyle w:val="AralkYok"/>
        <w:spacing w:before="60" w:after="60"/>
        <w:jc w:val="both"/>
        <w:rPr>
          <w:rFonts w:ascii="Cambria" w:hAnsi="Cambria"/>
          <w:sz w:val="18"/>
          <w:szCs w:val="18"/>
        </w:rPr>
      </w:pPr>
      <w:r w:rsidRPr="00405719">
        <w:rPr>
          <w:rFonts w:ascii="Cambria" w:hAnsi="Cambria"/>
          <w:b/>
          <w:sz w:val="18"/>
          <w:szCs w:val="18"/>
        </w:rPr>
        <w:t xml:space="preserve">Tablo 1. </w:t>
      </w:r>
      <w:r w:rsidRPr="00405719">
        <w:rPr>
          <w:rFonts w:ascii="Cambria" w:hAnsi="Cambria"/>
          <w:sz w:val="18"/>
          <w:szCs w:val="18"/>
        </w:rPr>
        <w:t xml:space="preserve">ML-I Verilen Tavşanlarda TNF-α, NO, TAK ve TOK Düzeyleri, </w:t>
      </w:r>
    </w:p>
    <w:p w:rsidR="001D06C6" w:rsidRDefault="00467887" w:rsidP="00467887">
      <w:pPr>
        <w:spacing w:before="60" w:after="60"/>
        <w:rPr>
          <w:rFonts w:ascii="Cambria" w:hAnsi="Cambria"/>
          <w:sz w:val="18"/>
          <w:szCs w:val="18"/>
        </w:rPr>
      </w:pPr>
      <w:r w:rsidRPr="00405719">
        <w:rPr>
          <w:rFonts w:ascii="Cambria" w:hAnsi="Cambria"/>
          <w:b/>
          <w:sz w:val="18"/>
          <w:szCs w:val="18"/>
        </w:rPr>
        <w:t>Table 1.</w:t>
      </w:r>
      <w:r w:rsidRPr="00405719">
        <w:rPr>
          <w:rFonts w:ascii="Cambria" w:hAnsi="Cambria"/>
          <w:sz w:val="18"/>
          <w:szCs w:val="18"/>
        </w:rPr>
        <w:t xml:space="preserve"> TNF-α, NO, TAC and TOC Levels in ML-I Given Rabbits</w:t>
      </w:r>
    </w:p>
    <w:tbl>
      <w:tblPr>
        <w:tblW w:w="4945" w:type="pct"/>
        <w:tblInd w:w="108" w:type="dxa"/>
        <w:tblBorders>
          <w:bottom w:val="single" w:sz="4" w:space="0" w:color="auto"/>
        </w:tblBorders>
        <w:tblLook w:val="04A0" w:firstRow="1" w:lastRow="0" w:firstColumn="1" w:lastColumn="0" w:noHBand="0" w:noVBand="1"/>
      </w:tblPr>
      <w:tblGrid>
        <w:gridCol w:w="1985"/>
        <w:gridCol w:w="1135"/>
        <w:gridCol w:w="1559"/>
        <w:gridCol w:w="1559"/>
        <w:gridCol w:w="1559"/>
        <w:gridCol w:w="1489"/>
        <w:gridCol w:w="460"/>
      </w:tblGrid>
      <w:tr w:rsidR="00467887" w:rsidRPr="00405719" w:rsidTr="00467887">
        <w:trPr>
          <w:trHeight w:val="510"/>
        </w:trPr>
        <w:tc>
          <w:tcPr>
            <w:tcW w:w="1018" w:type="pct"/>
            <w:tcBorders>
              <w:top w:val="single" w:sz="4" w:space="0" w:color="auto"/>
              <w:bottom w:val="single" w:sz="4" w:space="0" w:color="auto"/>
            </w:tcBorders>
            <w:vAlign w:val="center"/>
          </w:tcPr>
          <w:p w:rsidR="00467887" w:rsidRPr="00405719" w:rsidRDefault="00467887" w:rsidP="00467887">
            <w:pPr>
              <w:pStyle w:val="AralkYok"/>
              <w:jc w:val="center"/>
              <w:rPr>
                <w:rFonts w:ascii="Cambria" w:hAnsi="Cambria"/>
                <w:b/>
                <w:sz w:val="16"/>
                <w:szCs w:val="16"/>
              </w:rPr>
            </w:pPr>
            <w:r w:rsidRPr="00405719">
              <w:rPr>
                <w:rFonts w:ascii="Cambria" w:hAnsi="Cambria"/>
                <w:b/>
                <w:sz w:val="16"/>
                <w:szCs w:val="16"/>
              </w:rPr>
              <w:t>Parametre</w:t>
            </w:r>
          </w:p>
        </w:tc>
        <w:tc>
          <w:tcPr>
            <w:tcW w:w="582" w:type="pct"/>
            <w:tcBorders>
              <w:top w:val="single" w:sz="4" w:space="0" w:color="auto"/>
              <w:bottom w:val="single" w:sz="4" w:space="0" w:color="auto"/>
            </w:tcBorders>
            <w:vAlign w:val="center"/>
          </w:tcPr>
          <w:p w:rsidR="00467887" w:rsidRDefault="00467887" w:rsidP="00275107">
            <w:pPr>
              <w:pStyle w:val="AralkYok"/>
              <w:jc w:val="center"/>
              <w:rPr>
                <w:rFonts w:ascii="Cambria" w:hAnsi="Cambria"/>
                <w:b/>
                <w:sz w:val="16"/>
                <w:szCs w:val="16"/>
              </w:rPr>
            </w:pPr>
            <w:r w:rsidRPr="00405719">
              <w:rPr>
                <w:rFonts w:ascii="Cambria" w:hAnsi="Cambria"/>
                <w:b/>
                <w:sz w:val="16"/>
                <w:szCs w:val="16"/>
              </w:rPr>
              <w:t xml:space="preserve">Örnek Alım </w:t>
            </w:r>
          </w:p>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Zamanları</w:t>
            </w:r>
          </w:p>
        </w:tc>
        <w:tc>
          <w:tcPr>
            <w:tcW w:w="800" w:type="pct"/>
            <w:tcBorders>
              <w:top w:val="single" w:sz="4" w:space="0" w:color="auto"/>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Kontrol</w:t>
            </w:r>
          </w:p>
        </w:tc>
        <w:tc>
          <w:tcPr>
            <w:tcW w:w="800" w:type="pct"/>
            <w:tcBorders>
              <w:top w:val="single" w:sz="4" w:space="0" w:color="auto"/>
              <w:bottom w:val="single" w:sz="4" w:space="0" w:color="auto"/>
            </w:tcBorders>
            <w:vAlign w:val="center"/>
          </w:tcPr>
          <w:p w:rsidR="00467887" w:rsidRDefault="00467887" w:rsidP="00275107">
            <w:pPr>
              <w:pStyle w:val="AralkYok"/>
              <w:jc w:val="center"/>
              <w:rPr>
                <w:rFonts w:ascii="Cambria" w:hAnsi="Cambria"/>
                <w:b/>
                <w:sz w:val="16"/>
                <w:szCs w:val="16"/>
              </w:rPr>
            </w:pPr>
            <w:r w:rsidRPr="00405719">
              <w:rPr>
                <w:rFonts w:ascii="Cambria" w:hAnsi="Cambria"/>
                <w:b/>
                <w:sz w:val="16"/>
                <w:szCs w:val="16"/>
              </w:rPr>
              <w:t>Grup-I</w:t>
            </w:r>
          </w:p>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(0.5 ng/kg)</w:t>
            </w:r>
          </w:p>
        </w:tc>
        <w:tc>
          <w:tcPr>
            <w:tcW w:w="800" w:type="pct"/>
            <w:tcBorders>
              <w:top w:val="single" w:sz="4" w:space="0" w:color="auto"/>
              <w:bottom w:val="single" w:sz="4" w:space="0" w:color="auto"/>
            </w:tcBorders>
            <w:vAlign w:val="center"/>
          </w:tcPr>
          <w:p w:rsidR="00467887" w:rsidRDefault="00467887" w:rsidP="00275107">
            <w:pPr>
              <w:pStyle w:val="AralkYok"/>
              <w:jc w:val="center"/>
              <w:rPr>
                <w:rFonts w:ascii="Cambria" w:hAnsi="Cambria"/>
                <w:b/>
                <w:sz w:val="16"/>
                <w:szCs w:val="16"/>
              </w:rPr>
            </w:pPr>
            <w:r w:rsidRPr="00405719">
              <w:rPr>
                <w:rFonts w:ascii="Cambria" w:hAnsi="Cambria"/>
                <w:b/>
                <w:sz w:val="16"/>
                <w:szCs w:val="16"/>
              </w:rPr>
              <w:t>Grup-II</w:t>
            </w:r>
          </w:p>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(1 ng/kg)</w:t>
            </w:r>
          </w:p>
        </w:tc>
        <w:tc>
          <w:tcPr>
            <w:tcW w:w="764" w:type="pct"/>
            <w:tcBorders>
              <w:top w:val="single" w:sz="4" w:space="0" w:color="auto"/>
              <w:bottom w:val="single" w:sz="4" w:space="0" w:color="auto"/>
            </w:tcBorders>
            <w:vAlign w:val="center"/>
          </w:tcPr>
          <w:p w:rsidR="00467887" w:rsidRDefault="00467887" w:rsidP="00275107">
            <w:pPr>
              <w:pStyle w:val="AralkYok"/>
              <w:jc w:val="center"/>
              <w:rPr>
                <w:rFonts w:ascii="Cambria" w:hAnsi="Cambria"/>
                <w:b/>
                <w:sz w:val="16"/>
                <w:szCs w:val="16"/>
              </w:rPr>
            </w:pPr>
            <w:r w:rsidRPr="00405719">
              <w:rPr>
                <w:rFonts w:ascii="Cambria" w:hAnsi="Cambria"/>
                <w:b/>
                <w:sz w:val="16"/>
                <w:szCs w:val="16"/>
              </w:rPr>
              <w:t>Grup-III</w:t>
            </w:r>
          </w:p>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(2 ng/kg)</w:t>
            </w:r>
          </w:p>
        </w:tc>
        <w:tc>
          <w:tcPr>
            <w:tcW w:w="236" w:type="pct"/>
            <w:tcBorders>
              <w:top w:val="single" w:sz="4" w:space="0" w:color="auto"/>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P</w:t>
            </w:r>
          </w:p>
        </w:tc>
      </w:tr>
      <w:tr w:rsidR="00467887" w:rsidRPr="00405719" w:rsidTr="00467887">
        <w:trPr>
          <w:trHeight w:val="283"/>
        </w:trPr>
        <w:tc>
          <w:tcPr>
            <w:tcW w:w="1018" w:type="pct"/>
            <w:vMerge w:val="restart"/>
            <w:tcBorders>
              <w:top w:val="single" w:sz="4" w:space="0" w:color="auto"/>
              <w:bottom w:val="single" w:sz="4" w:space="0" w:color="auto"/>
            </w:tcBorders>
            <w:vAlign w:val="center"/>
          </w:tcPr>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TNF-α</w:t>
            </w:r>
          </w:p>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(pg/ml)</w:t>
            </w:r>
          </w:p>
        </w:tc>
        <w:tc>
          <w:tcPr>
            <w:tcW w:w="582" w:type="pct"/>
            <w:tcBorders>
              <w:top w:val="single" w:sz="4" w:space="0" w:color="auto"/>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 saat</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304.12±38.66</w:t>
            </w:r>
            <w:r w:rsidRPr="00405719">
              <w:rPr>
                <w:rFonts w:ascii="Cambria" w:hAnsi="Cambria"/>
                <w:sz w:val="16"/>
                <w:szCs w:val="16"/>
                <w:vertAlign w:val="superscript"/>
              </w:rPr>
              <w:t>A, b</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1904.78±420.93</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867.53±259.78</w:t>
            </w:r>
            <w:r w:rsidRPr="00405719">
              <w:rPr>
                <w:rFonts w:ascii="Cambria" w:hAnsi="Cambria"/>
                <w:sz w:val="16"/>
                <w:szCs w:val="16"/>
                <w:vertAlign w:val="superscript"/>
              </w:rPr>
              <w:t>A, b</w:t>
            </w:r>
          </w:p>
        </w:tc>
        <w:tc>
          <w:tcPr>
            <w:tcW w:w="764"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717.98±98.49</w:t>
            </w:r>
            <w:r w:rsidRPr="00405719">
              <w:rPr>
                <w:rFonts w:ascii="Cambria" w:hAnsi="Cambria"/>
                <w:sz w:val="16"/>
                <w:szCs w:val="16"/>
                <w:vertAlign w:val="superscript"/>
              </w:rPr>
              <w:t>A, b</w:t>
            </w:r>
          </w:p>
        </w:tc>
        <w:tc>
          <w:tcPr>
            <w:tcW w:w="236" w:type="pct"/>
            <w:tcBorders>
              <w:top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6.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244.08±74.86</w:t>
            </w:r>
            <w:r w:rsidRPr="00405719">
              <w:rPr>
                <w:rFonts w:ascii="Cambria" w:hAnsi="Cambria"/>
                <w:sz w:val="16"/>
                <w:szCs w:val="16"/>
                <w:vertAlign w:val="superscript"/>
              </w:rPr>
              <w:t>A, b</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1458.99±499.58</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884.91±66.22</w:t>
            </w:r>
            <w:r w:rsidRPr="00405719">
              <w:rPr>
                <w:rFonts w:ascii="Cambria" w:hAnsi="Cambria"/>
                <w:sz w:val="16"/>
                <w:szCs w:val="16"/>
                <w:vertAlign w:val="superscript"/>
              </w:rPr>
              <w:t>A, ab</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541.16±92.78</w:t>
            </w:r>
            <w:r w:rsidRPr="00405719">
              <w:rPr>
                <w:rFonts w:ascii="Cambria" w:hAnsi="Cambria"/>
                <w:sz w:val="16"/>
                <w:szCs w:val="16"/>
                <w:vertAlign w:val="superscript"/>
              </w:rPr>
              <w:t>A, b</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12.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253.11±46.53</w:t>
            </w:r>
            <w:r w:rsidRPr="00405719">
              <w:rPr>
                <w:rFonts w:ascii="Cambria" w:hAnsi="Cambria"/>
                <w:sz w:val="16"/>
                <w:szCs w:val="16"/>
                <w:vertAlign w:val="superscript"/>
              </w:rPr>
              <w:t>A, b</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1645.21±340.20</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951.29±134.64</w:t>
            </w:r>
            <w:r w:rsidRPr="00405719">
              <w:rPr>
                <w:rFonts w:ascii="Cambria" w:hAnsi="Cambria"/>
                <w:sz w:val="16"/>
                <w:szCs w:val="16"/>
                <w:vertAlign w:val="superscript"/>
              </w:rPr>
              <w:t>A, c</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954.23±149.89</w:t>
            </w:r>
            <w:r w:rsidRPr="00405719">
              <w:rPr>
                <w:rFonts w:ascii="Cambria" w:hAnsi="Cambria"/>
                <w:sz w:val="16"/>
                <w:szCs w:val="16"/>
                <w:vertAlign w:val="superscript"/>
              </w:rPr>
              <w:t>A, c</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nil"/>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24. saat</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238.04±20.35</w:t>
            </w:r>
            <w:r w:rsidRPr="00405719">
              <w:rPr>
                <w:rFonts w:ascii="Cambria" w:hAnsi="Cambria"/>
                <w:sz w:val="16"/>
                <w:szCs w:val="16"/>
                <w:vertAlign w:val="superscript"/>
              </w:rPr>
              <w:t>A, b</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1265.13±380.17</w:t>
            </w:r>
            <w:r w:rsidRPr="00405719">
              <w:rPr>
                <w:rFonts w:ascii="Cambria" w:hAnsi="Cambria"/>
                <w:sz w:val="16"/>
                <w:szCs w:val="16"/>
                <w:vertAlign w:val="superscript"/>
              </w:rPr>
              <w:t>A, a</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606.34±54.46</w:t>
            </w:r>
            <w:r w:rsidRPr="00405719">
              <w:rPr>
                <w:rFonts w:ascii="Cambria" w:hAnsi="Cambria"/>
                <w:sz w:val="16"/>
                <w:szCs w:val="16"/>
                <w:vertAlign w:val="superscript"/>
              </w:rPr>
              <w:t>A, ab</w:t>
            </w:r>
          </w:p>
        </w:tc>
        <w:tc>
          <w:tcPr>
            <w:tcW w:w="764"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889.97±188.80</w:t>
            </w:r>
            <w:r w:rsidRPr="00405719">
              <w:rPr>
                <w:rFonts w:ascii="Cambria" w:hAnsi="Cambria"/>
                <w:sz w:val="16"/>
                <w:szCs w:val="16"/>
                <w:vertAlign w:val="superscript"/>
              </w:rPr>
              <w:t>A, ab</w:t>
            </w:r>
          </w:p>
        </w:tc>
        <w:tc>
          <w:tcPr>
            <w:tcW w:w="236" w:type="pct"/>
            <w:tcBorders>
              <w:bottom w:val="nil"/>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P</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764"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236"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p>
        </w:tc>
      </w:tr>
      <w:tr w:rsidR="00467887" w:rsidRPr="00405719" w:rsidTr="00467887">
        <w:trPr>
          <w:trHeight w:val="283"/>
        </w:trPr>
        <w:tc>
          <w:tcPr>
            <w:tcW w:w="1018" w:type="pct"/>
            <w:vMerge w:val="restart"/>
            <w:tcBorders>
              <w:top w:val="single" w:sz="4" w:space="0" w:color="auto"/>
              <w:bottom w:val="single" w:sz="4" w:space="0" w:color="auto"/>
            </w:tcBorders>
            <w:vAlign w:val="center"/>
          </w:tcPr>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NO</w:t>
            </w:r>
          </w:p>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(μmol/L)</w:t>
            </w:r>
          </w:p>
        </w:tc>
        <w:tc>
          <w:tcPr>
            <w:tcW w:w="582" w:type="pct"/>
            <w:tcBorders>
              <w:top w:val="single" w:sz="4" w:space="0" w:color="auto"/>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 saat</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49.91±6.95</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29.67±2.98</w:t>
            </w:r>
            <w:r w:rsidRPr="00405719">
              <w:rPr>
                <w:rFonts w:ascii="Cambria" w:hAnsi="Cambria"/>
                <w:sz w:val="16"/>
                <w:szCs w:val="16"/>
                <w:vertAlign w:val="superscript"/>
              </w:rPr>
              <w:t>B, b</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30.87±6.71</w:t>
            </w:r>
            <w:r w:rsidRPr="00405719">
              <w:rPr>
                <w:rFonts w:ascii="Cambria" w:hAnsi="Cambria"/>
                <w:sz w:val="16"/>
                <w:szCs w:val="16"/>
                <w:vertAlign w:val="superscript"/>
              </w:rPr>
              <w:t>B, b</w:t>
            </w:r>
          </w:p>
        </w:tc>
        <w:tc>
          <w:tcPr>
            <w:tcW w:w="764"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42.68±4.12</w:t>
            </w:r>
            <w:r w:rsidRPr="00405719">
              <w:rPr>
                <w:rFonts w:ascii="Cambria" w:hAnsi="Cambria"/>
                <w:sz w:val="16"/>
                <w:szCs w:val="16"/>
                <w:vertAlign w:val="superscript"/>
              </w:rPr>
              <w:t>B, ab</w:t>
            </w:r>
          </w:p>
        </w:tc>
        <w:tc>
          <w:tcPr>
            <w:tcW w:w="236" w:type="pct"/>
            <w:tcBorders>
              <w:top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6.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38.09±4.88</w:t>
            </w:r>
            <w:r w:rsidRPr="00405719">
              <w:rPr>
                <w:rFonts w:ascii="Cambria" w:hAnsi="Cambria"/>
                <w:sz w:val="16"/>
                <w:szCs w:val="16"/>
                <w:vertAlign w:val="superscript"/>
              </w:rPr>
              <w:t>AB,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34.46±3.55</w:t>
            </w:r>
            <w:r w:rsidRPr="00405719">
              <w:rPr>
                <w:rFonts w:ascii="Cambria" w:hAnsi="Cambria"/>
                <w:sz w:val="16"/>
                <w:szCs w:val="16"/>
                <w:vertAlign w:val="superscript"/>
              </w:rPr>
              <w:t>AB,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34.66±3.52</w:t>
            </w:r>
            <w:r w:rsidRPr="00405719">
              <w:rPr>
                <w:rFonts w:ascii="Cambria" w:hAnsi="Cambria"/>
                <w:sz w:val="16"/>
                <w:szCs w:val="16"/>
                <w:vertAlign w:val="superscript"/>
              </w:rPr>
              <w:t>B,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45.81±5.63</w:t>
            </w:r>
            <w:r w:rsidRPr="00405719">
              <w:rPr>
                <w:rFonts w:ascii="Cambria" w:hAnsi="Cambria"/>
                <w:sz w:val="16"/>
                <w:szCs w:val="16"/>
                <w:vertAlign w:val="superscript"/>
              </w:rPr>
              <w:t>B,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12.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42.41±3.22</w:t>
            </w:r>
            <w:r w:rsidRPr="00405719">
              <w:rPr>
                <w:rFonts w:ascii="Cambria" w:hAnsi="Cambria"/>
                <w:sz w:val="16"/>
                <w:szCs w:val="16"/>
                <w:vertAlign w:val="superscript"/>
              </w:rPr>
              <w:t>AB,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50.65±7.60</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54.21±2.87</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59.95±2.35</w:t>
            </w:r>
            <w:r w:rsidRPr="00405719">
              <w:rPr>
                <w:rFonts w:ascii="Cambria" w:hAnsi="Cambria"/>
                <w:sz w:val="16"/>
                <w:szCs w:val="16"/>
                <w:vertAlign w:val="superscript"/>
              </w:rPr>
              <w:t>A,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nil"/>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24. saat</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31.92±5.57</w:t>
            </w:r>
            <w:r w:rsidRPr="00405719">
              <w:rPr>
                <w:rFonts w:ascii="Cambria" w:hAnsi="Cambria"/>
                <w:sz w:val="16"/>
                <w:szCs w:val="16"/>
                <w:vertAlign w:val="superscript"/>
              </w:rPr>
              <w:t>B, a</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35.73±6.08</w:t>
            </w:r>
            <w:r w:rsidRPr="00405719">
              <w:rPr>
                <w:rFonts w:ascii="Cambria" w:hAnsi="Cambria"/>
                <w:sz w:val="16"/>
                <w:szCs w:val="16"/>
                <w:vertAlign w:val="superscript"/>
              </w:rPr>
              <w:t>AB, a</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38.78±6.75</w:t>
            </w:r>
            <w:r w:rsidRPr="00405719">
              <w:rPr>
                <w:rFonts w:ascii="Cambria" w:hAnsi="Cambria"/>
                <w:sz w:val="16"/>
                <w:szCs w:val="16"/>
                <w:vertAlign w:val="superscript"/>
              </w:rPr>
              <w:t>AB, a</w:t>
            </w:r>
          </w:p>
        </w:tc>
        <w:tc>
          <w:tcPr>
            <w:tcW w:w="764"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43.01±4.12</w:t>
            </w:r>
            <w:r w:rsidRPr="00405719">
              <w:rPr>
                <w:rFonts w:ascii="Cambria" w:hAnsi="Cambria"/>
                <w:sz w:val="16"/>
                <w:szCs w:val="16"/>
                <w:vertAlign w:val="superscript"/>
              </w:rPr>
              <w:t>B, a</w:t>
            </w:r>
          </w:p>
        </w:tc>
        <w:tc>
          <w:tcPr>
            <w:tcW w:w="236" w:type="pct"/>
            <w:tcBorders>
              <w:bottom w:val="nil"/>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P</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c>
          <w:tcPr>
            <w:tcW w:w="764"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c>
          <w:tcPr>
            <w:tcW w:w="236"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p>
        </w:tc>
      </w:tr>
      <w:tr w:rsidR="00467887" w:rsidRPr="00405719" w:rsidTr="00467887">
        <w:trPr>
          <w:trHeight w:val="283"/>
        </w:trPr>
        <w:tc>
          <w:tcPr>
            <w:tcW w:w="1018" w:type="pct"/>
            <w:vMerge w:val="restart"/>
            <w:tcBorders>
              <w:top w:val="single" w:sz="4" w:space="0" w:color="auto"/>
              <w:bottom w:val="single" w:sz="4" w:space="0" w:color="auto"/>
            </w:tcBorders>
            <w:vAlign w:val="center"/>
          </w:tcPr>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TAK</w:t>
            </w:r>
          </w:p>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(mmol Trolox Equiv./L)</w:t>
            </w:r>
          </w:p>
        </w:tc>
        <w:tc>
          <w:tcPr>
            <w:tcW w:w="582" w:type="pct"/>
            <w:tcBorders>
              <w:top w:val="single" w:sz="4" w:space="0" w:color="auto"/>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 saat</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0.22±0.01</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0.33±0.05</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0.24±0.05</w:t>
            </w:r>
            <w:r w:rsidRPr="00405719">
              <w:rPr>
                <w:rFonts w:ascii="Cambria" w:hAnsi="Cambria"/>
                <w:sz w:val="16"/>
                <w:szCs w:val="16"/>
                <w:vertAlign w:val="superscript"/>
              </w:rPr>
              <w:t>A, a</w:t>
            </w:r>
          </w:p>
        </w:tc>
        <w:tc>
          <w:tcPr>
            <w:tcW w:w="764"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0.25±0.07</w:t>
            </w:r>
            <w:r w:rsidRPr="00405719">
              <w:rPr>
                <w:rFonts w:ascii="Cambria" w:hAnsi="Cambria"/>
                <w:sz w:val="16"/>
                <w:szCs w:val="16"/>
                <w:vertAlign w:val="superscript"/>
              </w:rPr>
              <w:t>A, a</w:t>
            </w:r>
          </w:p>
        </w:tc>
        <w:tc>
          <w:tcPr>
            <w:tcW w:w="236" w:type="pct"/>
            <w:tcBorders>
              <w:top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6.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0.19±0.02</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0.17±0.04</w:t>
            </w:r>
            <w:r w:rsidRPr="00405719">
              <w:rPr>
                <w:rFonts w:ascii="Cambria" w:hAnsi="Cambria"/>
                <w:sz w:val="16"/>
                <w:szCs w:val="16"/>
                <w:vertAlign w:val="superscript"/>
              </w:rPr>
              <w:t>B,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0.18±0.02</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0.26±0.04</w:t>
            </w:r>
            <w:r w:rsidRPr="00405719">
              <w:rPr>
                <w:rFonts w:ascii="Cambria" w:hAnsi="Cambria"/>
                <w:sz w:val="16"/>
                <w:szCs w:val="16"/>
                <w:vertAlign w:val="superscript"/>
              </w:rPr>
              <w:t>A,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12.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0.17±0.02</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0.16±0.02</w:t>
            </w:r>
            <w:r w:rsidRPr="00405719">
              <w:rPr>
                <w:rFonts w:ascii="Cambria" w:hAnsi="Cambria"/>
                <w:sz w:val="16"/>
                <w:szCs w:val="16"/>
                <w:vertAlign w:val="superscript"/>
              </w:rPr>
              <w:t>B,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0.20±0.04</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0.13±0.01</w:t>
            </w:r>
            <w:r w:rsidRPr="00405719">
              <w:rPr>
                <w:rFonts w:ascii="Cambria" w:hAnsi="Cambria"/>
                <w:sz w:val="16"/>
                <w:szCs w:val="16"/>
                <w:vertAlign w:val="superscript"/>
              </w:rPr>
              <w:t>A,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nil"/>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24. saat</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0.17±0.03</w:t>
            </w:r>
            <w:r w:rsidRPr="00405719">
              <w:rPr>
                <w:rFonts w:ascii="Cambria" w:hAnsi="Cambria"/>
                <w:sz w:val="16"/>
                <w:szCs w:val="16"/>
                <w:vertAlign w:val="superscript"/>
              </w:rPr>
              <w:t>A, a</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0.16±0.03</w:t>
            </w:r>
            <w:r w:rsidRPr="00405719">
              <w:rPr>
                <w:rFonts w:ascii="Cambria" w:hAnsi="Cambria"/>
                <w:sz w:val="16"/>
                <w:szCs w:val="16"/>
                <w:vertAlign w:val="superscript"/>
              </w:rPr>
              <w:t>B, a</w:t>
            </w:r>
          </w:p>
        </w:tc>
        <w:tc>
          <w:tcPr>
            <w:tcW w:w="800"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0.16±0.02</w:t>
            </w:r>
            <w:r w:rsidRPr="00405719">
              <w:rPr>
                <w:rFonts w:ascii="Cambria" w:hAnsi="Cambria"/>
                <w:sz w:val="16"/>
                <w:szCs w:val="16"/>
                <w:vertAlign w:val="superscript"/>
              </w:rPr>
              <w:t>A, a</w:t>
            </w:r>
          </w:p>
        </w:tc>
        <w:tc>
          <w:tcPr>
            <w:tcW w:w="764" w:type="pct"/>
            <w:tcBorders>
              <w:bottom w:val="nil"/>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0.20±0.02</w:t>
            </w:r>
            <w:r w:rsidRPr="00405719">
              <w:rPr>
                <w:rFonts w:ascii="Cambria" w:hAnsi="Cambria"/>
                <w:sz w:val="16"/>
                <w:szCs w:val="16"/>
                <w:vertAlign w:val="superscript"/>
              </w:rPr>
              <w:t>A, a</w:t>
            </w:r>
          </w:p>
        </w:tc>
        <w:tc>
          <w:tcPr>
            <w:tcW w:w="236" w:type="pct"/>
            <w:tcBorders>
              <w:bottom w:val="nil"/>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tcBorders>
              <w:bottom w:val="single" w:sz="4" w:space="0" w:color="auto"/>
            </w:tcBorders>
            <w:vAlign w:val="center"/>
          </w:tcPr>
          <w:p w:rsidR="00467887" w:rsidRPr="00467887" w:rsidRDefault="00467887" w:rsidP="00467887">
            <w:pPr>
              <w:pStyle w:val="AralkYok"/>
              <w:jc w:val="center"/>
              <w:rPr>
                <w:rFonts w:ascii="Cambria" w:hAnsi="Cambria"/>
                <w:sz w:val="16"/>
                <w:szCs w:val="16"/>
              </w:rPr>
            </w:pPr>
          </w:p>
        </w:tc>
        <w:tc>
          <w:tcPr>
            <w:tcW w:w="582"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P</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w:t>
            </w:r>
          </w:p>
        </w:tc>
        <w:tc>
          <w:tcPr>
            <w:tcW w:w="800"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764"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236" w:type="pct"/>
            <w:tcBorders>
              <w:bottom w:val="single" w:sz="4" w:space="0" w:color="auto"/>
            </w:tcBorders>
            <w:vAlign w:val="center"/>
          </w:tcPr>
          <w:p w:rsidR="00467887" w:rsidRPr="00405719" w:rsidRDefault="00467887" w:rsidP="00275107">
            <w:pPr>
              <w:pStyle w:val="AralkYok"/>
              <w:jc w:val="center"/>
              <w:rPr>
                <w:rFonts w:ascii="Cambria" w:hAnsi="Cambria"/>
                <w:b/>
                <w:sz w:val="16"/>
                <w:szCs w:val="16"/>
              </w:rPr>
            </w:pPr>
          </w:p>
        </w:tc>
      </w:tr>
      <w:tr w:rsidR="00467887" w:rsidRPr="00405719" w:rsidTr="00467887">
        <w:trPr>
          <w:trHeight w:val="283"/>
        </w:trPr>
        <w:tc>
          <w:tcPr>
            <w:tcW w:w="1018" w:type="pct"/>
            <w:vMerge w:val="restart"/>
            <w:tcBorders>
              <w:top w:val="single" w:sz="4" w:space="0" w:color="auto"/>
            </w:tcBorders>
            <w:vAlign w:val="center"/>
          </w:tcPr>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TOK</w:t>
            </w:r>
          </w:p>
          <w:p w:rsidR="00467887" w:rsidRPr="00467887" w:rsidRDefault="00467887" w:rsidP="00467887">
            <w:pPr>
              <w:pStyle w:val="AralkYok"/>
              <w:jc w:val="center"/>
              <w:rPr>
                <w:rFonts w:ascii="Cambria" w:hAnsi="Cambria"/>
                <w:sz w:val="16"/>
                <w:szCs w:val="16"/>
              </w:rPr>
            </w:pPr>
            <w:r w:rsidRPr="00467887">
              <w:rPr>
                <w:rFonts w:ascii="Cambria" w:hAnsi="Cambria"/>
                <w:sz w:val="16"/>
                <w:szCs w:val="16"/>
              </w:rPr>
              <w:t>(μmol H</w:t>
            </w:r>
            <w:r w:rsidRPr="00467887">
              <w:rPr>
                <w:rFonts w:ascii="Cambria" w:hAnsi="Cambria"/>
                <w:sz w:val="16"/>
                <w:szCs w:val="16"/>
                <w:vertAlign w:val="subscript"/>
              </w:rPr>
              <w:t>2</w:t>
            </w:r>
            <w:r w:rsidRPr="00467887">
              <w:rPr>
                <w:rFonts w:ascii="Cambria" w:hAnsi="Cambria"/>
                <w:sz w:val="16"/>
                <w:szCs w:val="16"/>
              </w:rPr>
              <w:t>O</w:t>
            </w:r>
            <w:r w:rsidRPr="00467887">
              <w:rPr>
                <w:rFonts w:ascii="Cambria" w:hAnsi="Cambria"/>
                <w:sz w:val="16"/>
                <w:szCs w:val="16"/>
                <w:vertAlign w:val="subscript"/>
              </w:rPr>
              <w:t>2</w:t>
            </w:r>
            <w:r w:rsidRPr="00467887">
              <w:rPr>
                <w:rFonts w:ascii="Cambria" w:hAnsi="Cambria"/>
                <w:sz w:val="16"/>
                <w:szCs w:val="16"/>
              </w:rPr>
              <w:t xml:space="preserve"> Equiv./L)</w:t>
            </w:r>
          </w:p>
        </w:tc>
        <w:tc>
          <w:tcPr>
            <w:tcW w:w="582" w:type="pct"/>
            <w:tcBorders>
              <w:top w:val="single" w:sz="4" w:space="0" w:color="auto"/>
            </w:tcBorders>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 saat</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9.68±1.26</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7.29±0.63</w:t>
            </w:r>
            <w:r w:rsidRPr="00405719">
              <w:rPr>
                <w:rFonts w:ascii="Cambria" w:hAnsi="Cambria"/>
                <w:sz w:val="16"/>
                <w:szCs w:val="16"/>
                <w:vertAlign w:val="superscript"/>
              </w:rPr>
              <w:t>A, a</w:t>
            </w:r>
          </w:p>
        </w:tc>
        <w:tc>
          <w:tcPr>
            <w:tcW w:w="800"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7.93±0.36</w:t>
            </w:r>
            <w:r w:rsidRPr="00405719">
              <w:rPr>
                <w:rFonts w:ascii="Cambria" w:hAnsi="Cambria"/>
                <w:sz w:val="16"/>
                <w:szCs w:val="16"/>
                <w:vertAlign w:val="superscript"/>
              </w:rPr>
              <w:t>A, a</w:t>
            </w:r>
          </w:p>
        </w:tc>
        <w:tc>
          <w:tcPr>
            <w:tcW w:w="764" w:type="pct"/>
            <w:tcBorders>
              <w:top w:val="single" w:sz="4" w:space="0" w:color="auto"/>
            </w:tcBorders>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6.99±0.85</w:t>
            </w:r>
            <w:r w:rsidRPr="00405719">
              <w:rPr>
                <w:rFonts w:ascii="Cambria" w:hAnsi="Cambria"/>
                <w:sz w:val="16"/>
                <w:szCs w:val="16"/>
                <w:vertAlign w:val="superscript"/>
              </w:rPr>
              <w:t>A, a</w:t>
            </w:r>
          </w:p>
        </w:tc>
        <w:tc>
          <w:tcPr>
            <w:tcW w:w="236" w:type="pct"/>
            <w:tcBorders>
              <w:top w:val="single" w:sz="4" w:space="0" w:color="auto"/>
            </w:tcBorders>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vAlign w:val="center"/>
          </w:tcPr>
          <w:p w:rsidR="00467887" w:rsidRPr="00405719"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6.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9.38±0.78</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7.81±0.72</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8.29±0.58</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8.75±1.61</w:t>
            </w:r>
            <w:r w:rsidRPr="00405719">
              <w:rPr>
                <w:rFonts w:ascii="Cambria" w:hAnsi="Cambria"/>
                <w:sz w:val="16"/>
                <w:szCs w:val="16"/>
                <w:vertAlign w:val="superscript"/>
              </w:rPr>
              <w:t>A,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vAlign w:val="center"/>
          </w:tcPr>
          <w:p w:rsidR="00467887" w:rsidRPr="00405719"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12.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7.35±0.33</w:t>
            </w:r>
            <w:r w:rsidRPr="00405719">
              <w:rPr>
                <w:rFonts w:ascii="Cambria" w:hAnsi="Cambria"/>
                <w:sz w:val="16"/>
                <w:szCs w:val="16"/>
                <w:vertAlign w:val="superscript"/>
              </w:rPr>
              <w:t>A, b</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8.14±0.46</w:t>
            </w:r>
            <w:r w:rsidRPr="00405719">
              <w:rPr>
                <w:rFonts w:ascii="Cambria" w:hAnsi="Cambria"/>
                <w:sz w:val="16"/>
                <w:szCs w:val="16"/>
                <w:vertAlign w:val="superscript"/>
              </w:rPr>
              <w:t>A, ab</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9.06±0.61</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7.84±0.28</w:t>
            </w:r>
            <w:r w:rsidRPr="00405719">
              <w:rPr>
                <w:rFonts w:ascii="Cambria" w:hAnsi="Cambria"/>
                <w:sz w:val="16"/>
                <w:szCs w:val="16"/>
                <w:vertAlign w:val="superscript"/>
              </w:rPr>
              <w:t>A, ab</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vAlign w:val="center"/>
          </w:tcPr>
          <w:p w:rsidR="00467887" w:rsidRPr="00405719" w:rsidRDefault="00467887" w:rsidP="00467887">
            <w:pPr>
              <w:pStyle w:val="AralkYok"/>
              <w:jc w:val="center"/>
              <w:rPr>
                <w:rFonts w:ascii="Cambria" w:hAnsi="Cambria"/>
                <w:sz w:val="16"/>
                <w:szCs w:val="16"/>
              </w:rPr>
            </w:pPr>
          </w:p>
        </w:tc>
        <w:tc>
          <w:tcPr>
            <w:tcW w:w="582" w:type="pct"/>
            <w:vAlign w:val="center"/>
          </w:tcPr>
          <w:p w:rsidR="00467887" w:rsidRPr="00467887" w:rsidRDefault="00467887" w:rsidP="00275107">
            <w:pPr>
              <w:pStyle w:val="AralkYok"/>
              <w:jc w:val="center"/>
              <w:rPr>
                <w:rFonts w:ascii="Cambria" w:hAnsi="Cambria"/>
                <w:sz w:val="16"/>
                <w:szCs w:val="16"/>
              </w:rPr>
            </w:pPr>
            <w:r w:rsidRPr="00467887">
              <w:rPr>
                <w:rFonts w:ascii="Cambria" w:hAnsi="Cambria"/>
                <w:sz w:val="16"/>
                <w:szCs w:val="16"/>
              </w:rPr>
              <w:t>24. saat</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7.19±0.55</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7.93±0.55</w:t>
            </w:r>
            <w:r w:rsidRPr="00405719">
              <w:rPr>
                <w:rFonts w:ascii="Cambria" w:hAnsi="Cambria"/>
                <w:sz w:val="16"/>
                <w:szCs w:val="16"/>
                <w:vertAlign w:val="superscript"/>
              </w:rPr>
              <w:t>A, a</w:t>
            </w:r>
          </w:p>
        </w:tc>
        <w:tc>
          <w:tcPr>
            <w:tcW w:w="800"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8.64±1.19</w:t>
            </w:r>
            <w:r w:rsidRPr="00405719">
              <w:rPr>
                <w:rFonts w:ascii="Cambria" w:hAnsi="Cambria"/>
                <w:sz w:val="16"/>
                <w:szCs w:val="16"/>
                <w:vertAlign w:val="superscript"/>
              </w:rPr>
              <w:t>A, a</w:t>
            </w:r>
          </w:p>
        </w:tc>
        <w:tc>
          <w:tcPr>
            <w:tcW w:w="764" w:type="pct"/>
            <w:vAlign w:val="center"/>
          </w:tcPr>
          <w:p w:rsidR="00467887" w:rsidRPr="00405719" w:rsidRDefault="00467887" w:rsidP="00275107">
            <w:pPr>
              <w:pStyle w:val="AralkYok"/>
              <w:jc w:val="center"/>
              <w:rPr>
                <w:rFonts w:ascii="Cambria" w:hAnsi="Cambria"/>
                <w:sz w:val="16"/>
                <w:szCs w:val="16"/>
              </w:rPr>
            </w:pPr>
            <w:r w:rsidRPr="00405719">
              <w:rPr>
                <w:rFonts w:ascii="Cambria" w:hAnsi="Cambria"/>
                <w:sz w:val="16"/>
                <w:szCs w:val="16"/>
              </w:rPr>
              <w:t>7.16±0.45</w:t>
            </w:r>
            <w:r w:rsidRPr="00405719">
              <w:rPr>
                <w:rFonts w:ascii="Cambria" w:hAnsi="Cambria"/>
                <w:sz w:val="16"/>
                <w:szCs w:val="16"/>
                <w:vertAlign w:val="superscript"/>
              </w:rPr>
              <w:t>A, a</w:t>
            </w:r>
          </w:p>
        </w:tc>
        <w:tc>
          <w:tcPr>
            <w:tcW w:w="236"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r>
      <w:tr w:rsidR="00467887" w:rsidRPr="00405719" w:rsidTr="00467887">
        <w:trPr>
          <w:trHeight w:val="283"/>
        </w:trPr>
        <w:tc>
          <w:tcPr>
            <w:tcW w:w="1018" w:type="pct"/>
            <w:vMerge/>
            <w:vAlign w:val="center"/>
          </w:tcPr>
          <w:p w:rsidR="00467887" w:rsidRPr="00405719" w:rsidRDefault="00467887" w:rsidP="00467887">
            <w:pPr>
              <w:pStyle w:val="AralkYok"/>
              <w:jc w:val="center"/>
              <w:rPr>
                <w:rFonts w:ascii="Cambria" w:hAnsi="Cambria"/>
                <w:b/>
                <w:sz w:val="16"/>
                <w:szCs w:val="16"/>
              </w:rPr>
            </w:pPr>
          </w:p>
        </w:tc>
        <w:tc>
          <w:tcPr>
            <w:tcW w:w="582"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P</w:t>
            </w:r>
          </w:p>
        </w:tc>
        <w:tc>
          <w:tcPr>
            <w:tcW w:w="800"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800"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764" w:type="pct"/>
            <w:vAlign w:val="center"/>
          </w:tcPr>
          <w:p w:rsidR="00467887" w:rsidRPr="00405719" w:rsidRDefault="00467887" w:rsidP="00275107">
            <w:pPr>
              <w:pStyle w:val="AralkYok"/>
              <w:jc w:val="center"/>
              <w:rPr>
                <w:rFonts w:ascii="Cambria" w:hAnsi="Cambria"/>
                <w:b/>
                <w:sz w:val="16"/>
                <w:szCs w:val="16"/>
              </w:rPr>
            </w:pPr>
            <w:r w:rsidRPr="00405719">
              <w:rPr>
                <w:rFonts w:ascii="Cambria" w:hAnsi="Cambria"/>
                <w:b/>
                <w:sz w:val="16"/>
                <w:szCs w:val="16"/>
              </w:rPr>
              <w:t>Ns</w:t>
            </w:r>
          </w:p>
        </w:tc>
        <w:tc>
          <w:tcPr>
            <w:tcW w:w="236" w:type="pct"/>
            <w:vAlign w:val="center"/>
          </w:tcPr>
          <w:p w:rsidR="00467887" w:rsidRPr="00405719" w:rsidRDefault="00467887" w:rsidP="00275107">
            <w:pPr>
              <w:pStyle w:val="AralkYok"/>
              <w:jc w:val="center"/>
              <w:rPr>
                <w:rFonts w:ascii="Cambria" w:hAnsi="Cambria"/>
                <w:b/>
                <w:sz w:val="16"/>
                <w:szCs w:val="16"/>
              </w:rPr>
            </w:pPr>
          </w:p>
        </w:tc>
      </w:tr>
    </w:tbl>
    <w:p w:rsidR="00467887" w:rsidRPr="00467887" w:rsidRDefault="00467887" w:rsidP="00467887">
      <w:pPr>
        <w:spacing w:before="60" w:after="60"/>
        <w:jc w:val="both"/>
        <w:rPr>
          <w:rFonts w:ascii="Cambria" w:hAnsi="Cambria"/>
          <w:sz w:val="14"/>
          <w:szCs w:val="18"/>
        </w:rPr>
      </w:pPr>
      <w:r w:rsidRPr="00467887">
        <w:rPr>
          <w:rFonts w:ascii="Cambria" w:hAnsi="Cambria"/>
          <w:sz w:val="16"/>
          <w:szCs w:val="18"/>
        </w:rPr>
        <w:t>A, B harfleri aynı sütundaki, a, b, c harfleri aynı satırdaki istatistiksel farkları göstermektedir,</w:t>
      </w:r>
      <w:r w:rsidRPr="00467887">
        <w:rPr>
          <w:rFonts w:ascii="Cambria" w:hAnsi="Cambria"/>
          <w:b/>
          <w:sz w:val="16"/>
          <w:szCs w:val="18"/>
        </w:rPr>
        <w:t xml:space="preserve"> *: </w:t>
      </w:r>
      <w:r w:rsidRPr="00467887">
        <w:rPr>
          <w:rFonts w:ascii="Cambria" w:hAnsi="Cambria"/>
          <w:sz w:val="16"/>
          <w:szCs w:val="18"/>
        </w:rPr>
        <w:t xml:space="preserve">Aynı satır ve sütundaki farklılıklar istatistiksel olarak önemlidir (p&lt;0.05), </w:t>
      </w:r>
      <w:r w:rsidRPr="00467887">
        <w:rPr>
          <w:rFonts w:ascii="Cambria" w:hAnsi="Cambria"/>
          <w:b/>
          <w:sz w:val="16"/>
          <w:szCs w:val="18"/>
        </w:rPr>
        <w:t xml:space="preserve">**: </w:t>
      </w:r>
      <w:r w:rsidRPr="00467887">
        <w:rPr>
          <w:rFonts w:ascii="Cambria" w:hAnsi="Cambria"/>
          <w:sz w:val="16"/>
          <w:szCs w:val="18"/>
        </w:rPr>
        <w:t xml:space="preserve">Aynı satırdaki farklılıklar istatistiksel olarak önemlidir (p&lt;0.01), </w:t>
      </w:r>
      <w:r w:rsidRPr="00467887">
        <w:rPr>
          <w:rFonts w:ascii="Cambria" w:hAnsi="Cambria"/>
          <w:b/>
          <w:sz w:val="16"/>
          <w:szCs w:val="18"/>
        </w:rPr>
        <w:t xml:space="preserve">Ns: </w:t>
      </w:r>
      <w:r w:rsidRPr="00467887">
        <w:rPr>
          <w:rFonts w:ascii="Cambria" w:hAnsi="Cambria"/>
          <w:sz w:val="16"/>
          <w:szCs w:val="18"/>
        </w:rPr>
        <w:t>Aynı satır ve sütundaki farklılıklar istatistiksel olarak önemsizdir.</w:t>
      </w:r>
    </w:p>
    <w:p w:rsidR="00467887" w:rsidRPr="00575F7F" w:rsidRDefault="00467887" w:rsidP="00AB26CF">
      <w:pPr>
        <w:spacing w:before="60" w:after="60"/>
        <w:rPr>
          <w:rFonts w:ascii="Cambria" w:hAnsi="Cambria"/>
          <w:sz w:val="16"/>
          <w:szCs w:val="18"/>
        </w:rPr>
      </w:pPr>
    </w:p>
    <w:p w:rsidR="0063650D" w:rsidRDefault="0063650D" w:rsidP="00447240">
      <w:pPr>
        <w:spacing w:before="60" w:after="60"/>
        <w:rPr>
          <w:rFonts w:ascii="Cambria" w:hAnsi="Cambria"/>
          <w:b/>
          <w:sz w:val="20"/>
          <w:szCs w:val="20"/>
        </w:rPr>
        <w:sectPr w:rsidR="0063650D" w:rsidSect="0063650D">
          <w:type w:val="continuous"/>
          <w:pgSz w:w="11906" w:h="16838"/>
          <w:pgMar w:top="1134" w:right="1134" w:bottom="1134" w:left="1134" w:header="709" w:footer="709" w:gutter="0"/>
          <w:cols w:space="567"/>
          <w:docGrid w:linePitch="360"/>
        </w:sectPr>
      </w:pPr>
    </w:p>
    <w:p w:rsidR="00467887" w:rsidRPr="00405719" w:rsidRDefault="00467887" w:rsidP="00467887">
      <w:pPr>
        <w:spacing w:before="60" w:after="60"/>
        <w:jc w:val="both"/>
        <w:rPr>
          <w:rFonts w:ascii="Cambria" w:hAnsi="Cambria"/>
          <w:sz w:val="18"/>
          <w:szCs w:val="18"/>
        </w:rPr>
      </w:pPr>
      <w:r w:rsidRPr="00405719">
        <w:rPr>
          <w:rFonts w:ascii="Cambria" w:hAnsi="Cambria"/>
          <w:sz w:val="18"/>
          <w:szCs w:val="18"/>
        </w:rPr>
        <w:lastRenderedPageBreak/>
        <w:t xml:space="preserve">Yapılan </w:t>
      </w:r>
      <w:r w:rsidRPr="00405719">
        <w:rPr>
          <w:rFonts w:ascii="Cambria" w:hAnsi="Cambria"/>
          <w:i/>
          <w:sz w:val="18"/>
          <w:szCs w:val="18"/>
        </w:rPr>
        <w:t>in vitro</w:t>
      </w:r>
      <w:r w:rsidRPr="00405719">
        <w:rPr>
          <w:rFonts w:ascii="Cambria" w:hAnsi="Cambria"/>
          <w:sz w:val="18"/>
          <w:szCs w:val="18"/>
        </w:rPr>
        <w:t xml:space="preserve"> çalışmalar göz önünde bulundurulduğunda, ML-I’in tavşanlara i.p. olarak verilmesiyle </w:t>
      </w:r>
      <w:proofErr w:type="gramStart"/>
      <w:r w:rsidRPr="00405719">
        <w:rPr>
          <w:rFonts w:ascii="Cambria" w:hAnsi="Cambria"/>
          <w:sz w:val="18"/>
          <w:szCs w:val="18"/>
        </w:rPr>
        <w:t>0.5</w:t>
      </w:r>
      <w:proofErr w:type="gramEnd"/>
      <w:r w:rsidRPr="00405719">
        <w:rPr>
          <w:rFonts w:ascii="Cambria" w:hAnsi="Cambria"/>
          <w:sz w:val="18"/>
          <w:szCs w:val="18"/>
        </w:rPr>
        <w:t xml:space="preserve"> ng/kg’lık dozun üstündeki lektin dozlarının özellikle monosit ve makrofajlar üzerinde sitotoksik etki yapmış olabileceği (Ribereau-Gayon ve ark. 1996; </w:t>
      </w:r>
      <w:r w:rsidRPr="00405719">
        <w:rPr>
          <w:rFonts w:ascii="Cambria" w:eastAsia="Times-Roman" w:hAnsi="Cambria"/>
          <w:sz w:val="18"/>
          <w:szCs w:val="18"/>
        </w:rPr>
        <w:t>Sung ve ark. 2013</w:t>
      </w:r>
      <w:r w:rsidRPr="00405719">
        <w:rPr>
          <w:rFonts w:ascii="Cambria" w:hAnsi="Cambria"/>
          <w:sz w:val="18"/>
          <w:szCs w:val="18"/>
        </w:rPr>
        <w:t xml:space="preserve">) ayrıca lenfositlerinde bu </w:t>
      </w:r>
      <w:proofErr w:type="gramStart"/>
      <w:r w:rsidRPr="00405719">
        <w:rPr>
          <w:rFonts w:ascii="Cambria" w:hAnsi="Cambria"/>
          <w:sz w:val="18"/>
          <w:szCs w:val="18"/>
        </w:rPr>
        <w:t>konsantrasyonlardan</w:t>
      </w:r>
      <w:proofErr w:type="gramEnd"/>
      <w:r w:rsidRPr="00405719">
        <w:rPr>
          <w:rFonts w:ascii="Cambria" w:hAnsi="Cambria"/>
          <w:sz w:val="18"/>
          <w:szCs w:val="18"/>
        </w:rPr>
        <w:t xml:space="preserve"> etkilenebileceği (</w:t>
      </w:r>
      <w:r w:rsidRPr="00405719">
        <w:rPr>
          <w:rFonts w:ascii="Cambria" w:hAnsi="Cambria"/>
          <w:bCs/>
          <w:sz w:val="18"/>
          <w:szCs w:val="18"/>
        </w:rPr>
        <w:t>Hajto ve ark. 2005</w:t>
      </w:r>
      <w:r w:rsidRPr="00405719">
        <w:rPr>
          <w:rFonts w:ascii="Cambria" w:hAnsi="Cambria"/>
          <w:sz w:val="18"/>
          <w:szCs w:val="18"/>
        </w:rPr>
        <w:t xml:space="preserve">) kanaatini oluşturdu. </w:t>
      </w:r>
    </w:p>
    <w:p w:rsidR="00467887" w:rsidRPr="00405719" w:rsidRDefault="00467887" w:rsidP="00467887">
      <w:pPr>
        <w:spacing w:before="60" w:after="60"/>
        <w:jc w:val="both"/>
        <w:rPr>
          <w:rFonts w:ascii="Cambria" w:hAnsi="Cambria"/>
          <w:sz w:val="18"/>
          <w:szCs w:val="18"/>
        </w:rPr>
      </w:pPr>
      <w:r w:rsidRPr="00405719">
        <w:rPr>
          <w:rFonts w:ascii="Cambria" w:hAnsi="Cambria"/>
          <w:sz w:val="18"/>
          <w:szCs w:val="18"/>
        </w:rPr>
        <w:t>H</w:t>
      </w:r>
      <w:r w:rsidRPr="00405719">
        <w:rPr>
          <w:rFonts w:ascii="Cambria" w:hAnsi="Cambria"/>
          <w:sz w:val="18"/>
          <w:szCs w:val="18"/>
          <w:vertAlign w:val="subscript"/>
        </w:rPr>
        <w:t>2</w:t>
      </w:r>
      <w:r w:rsidRPr="00405719">
        <w:rPr>
          <w:rFonts w:ascii="Cambria" w:hAnsi="Cambria"/>
          <w:sz w:val="18"/>
          <w:szCs w:val="18"/>
        </w:rPr>
        <w:t>O</w:t>
      </w:r>
      <w:r w:rsidRPr="00405719">
        <w:rPr>
          <w:rFonts w:ascii="Cambria" w:hAnsi="Cambria"/>
          <w:sz w:val="18"/>
          <w:szCs w:val="18"/>
          <w:vertAlign w:val="subscript"/>
        </w:rPr>
        <w:t xml:space="preserve">2, </w:t>
      </w:r>
      <w:r w:rsidRPr="00405719">
        <w:rPr>
          <w:rFonts w:ascii="Cambria" w:hAnsi="Cambria"/>
          <w:sz w:val="18"/>
          <w:szCs w:val="18"/>
        </w:rPr>
        <w:t>O</w:t>
      </w:r>
      <w:r w:rsidRPr="00405719">
        <w:rPr>
          <w:rFonts w:ascii="Cambria" w:hAnsi="Cambria"/>
          <w:sz w:val="18"/>
          <w:szCs w:val="18"/>
          <w:vertAlign w:val="subscript"/>
        </w:rPr>
        <w:t>2</w:t>
      </w:r>
      <w:r w:rsidRPr="00405719">
        <w:rPr>
          <w:rFonts w:ascii="Cambria" w:hAnsi="Cambria"/>
          <w:sz w:val="18"/>
          <w:szCs w:val="18"/>
          <w:vertAlign w:val="superscript"/>
        </w:rPr>
        <w:t>.-</w:t>
      </w:r>
      <w:r w:rsidRPr="00405719">
        <w:rPr>
          <w:rFonts w:ascii="Cambria" w:hAnsi="Cambria"/>
          <w:sz w:val="18"/>
          <w:szCs w:val="18"/>
        </w:rPr>
        <w:t xml:space="preserve"> ve NO</w:t>
      </w:r>
      <w:r w:rsidRPr="00405719">
        <w:rPr>
          <w:rFonts w:ascii="Cambria" w:hAnsi="Cambria"/>
          <w:sz w:val="18"/>
          <w:szCs w:val="18"/>
          <w:vertAlign w:val="superscript"/>
        </w:rPr>
        <w:t>.</w:t>
      </w:r>
      <w:r w:rsidRPr="00405719">
        <w:rPr>
          <w:rFonts w:ascii="Cambria" w:hAnsi="Cambria"/>
          <w:sz w:val="18"/>
          <w:szCs w:val="18"/>
        </w:rPr>
        <w:t xml:space="preserve"> gibi reaktif oksijen türlerinin immün sistemdeki hücrelerin fonksiyonlarının düzenlenmesinde önemli bir yere sahip olduğu bildirilmektedir (Finkel 1998). ML-I ile yapılan </w:t>
      </w:r>
      <w:r w:rsidRPr="00405719">
        <w:rPr>
          <w:rFonts w:ascii="Cambria" w:hAnsi="Cambria"/>
          <w:i/>
          <w:sz w:val="18"/>
          <w:szCs w:val="18"/>
        </w:rPr>
        <w:t>in vitro</w:t>
      </w:r>
      <w:r w:rsidRPr="00405719">
        <w:rPr>
          <w:rFonts w:ascii="Cambria" w:hAnsi="Cambria"/>
          <w:sz w:val="18"/>
          <w:szCs w:val="18"/>
        </w:rPr>
        <w:t xml:space="preserve"> çalışmalarda, insan hepatokarsinom hücrelerinde reaktif oksijen miktarını arttırarak bu hücrelerin apoptoza uğramasına yardımcı olduğu </w:t>
      </w:r>
      <w:proofErr w:type="gramStart"/>
      <w:r w:rsidRPr="00405719">
        <w:rPr>
          <w:rFonts w:ascii="Cambria" w:hAnsi="Cambria"/>
          <w:sz w:val="18"/>
          <w:szCs w:val="18"/>
        </w:rPr>
        <w:t>(</w:t>
      </w:r>
      <w:proofErr w:type="gramEnd"/>
      <w:r w:rsidRPr="00405719">
        <w:rPr>
          <w:rFonts w:ascii="Cambria" w:hAnsi="Cambria"/>
          <w:sz w:val="18"/>
          <w:szCs w:val="18"/>
        </w:rPr>
        <w:t>Kim ve ark. 2004), nötrofillerden O</w:t>
      </w:r>
      <w:r w:rsidRPr="00405719">
        <w:rPr>
          <w:rFonts w:ascii="Cambria" w:hAnsi="Cambria"/>
          <w:sz w:val="18"/>
          <w:szCs w:val="18"/>
          <w:vertAlign w:val="subscript"/>
        </w:rPr>
        <w:t>2</w:t>
      </w:r>
      <w:r w:rsidRPr="00405719">
        <w:rPr>
          <w:rFonts w:ascii="Cambria" w:hAnsi="Cambria"/>
          <w:sz w:val="18"/>
          <w:szCs w:val="18"/>
          <w:vertAlign w:val="superscript"/>
        </w:rPr>
        <w:t>.-</w:t>
      </w:r>
      <w:r w:rsidRPr="00405719">
        <w:rPr>
          <w:rFonts w:ascii="Cambria" w:hAnsi="Cambria"/>
          <w:sz w:val="18"/>
          <w:szCs w:val="18"/>
        </w:rPr>
        <w:t xml:space="preserve"> (Timoshenko ve Gabius, 1993) ve H</w:t>
      </w:r>
      <w:r w:rsidRPr="00405719">
        <w:rPr>
          <w:rFonts w:ascii="Cambria" w:hAnsi="Cambria"/>
          <w:sz w:val="18"/>
          <w:szCs w:val="18"/>
          <w:vertAlign w:val="subscript"/>
        </w:rPr>
        <w:t>2</w:t>
      </w:r>
      <w:r w:rsidRPr="00405719">
        <w:rPr>
          <w:rFonts w:ascii="Cambria" w:hAnsi="Cambria"/>
          <w:sz w:val="18"/>
          <w:szCs w:val="18"/>
        </w:rPr>
        <w:t>O</w:t>
      </w:r>
      <w:r w:rsidRPr="00405719">
        <w:rPr>
          <w:rFonts w:ascii="Cambria" w:hAnsi="Cambria"/>
          <w:sz w:val="18"/>
          <w:szCs w:val="18"/>
          <w:vertAlign w:val="subscript"/>
        </w:rPr>
        <w:t>2</w:t>
      </w:r>
      <w:r w:rsidRPr="00405719">
        <w:rPr>
          <w:rFonts w:ascii="Cambria" w:hAnsi="Cambria"/>
          <w:sz w:val="18"/>
          <w:szCs w:val="18"/>
        </w:rPr>
        <w:t xml:space="preserve"> (Timoshenko ve ark. 1995), makrofajlardan NO (Kang ve ark. 2008) salınımını uyardığı gösterilmiştir.</w:t>
      </w:r>
    </w:p>
    <w:p w:rsidR="00467887" w:rsidRPr="00405719" w:rsidRDefault="00467887" w:rsidP="00467887">
      <w:pPr>
        <w:spacing w:before="60" w:after="60"/>
        <w:jc w:val="both"/>
        <w:rPr>
          <w:rFonts w:ascii="Cambria" w:hAnsi="Cambria"/>
          <w:sz w:val="18"/>
          <w:szCs w:val="18"/>
        </w:rPr>
      </w:pPr>
      <w:r w:rsidRPr="00405719">
        <w:rPr>
          <w:rFonts w:ascii="Cambria" w:hAnsi="Cambria"/>
          <w:sz w:val="18"/>
          <w:szCs w:val="18"/>
        </w:rPr>
        <w:t xml:space="preserve">Yapılan çalışmada, </w:t>
      </w:r>
      <w:proofErr w:type="gramStart"/>
      <w:r w:rsidRPr="00405719">
        <w:rPr>
          <w:rFonts w:ascii="Cambria" w:hAnsi="Cambria"/>
          <w:sz w:val="18"/>
          <w:szCs w:val="18"/>
        </w:rPr>
        <w:t>0.5</w:t>
      </w:r>
      <w:proofErr w:type="gramEnd"/>
      <w:r w:rsidRPr="00405719">
        <w:rPr>
          <w:rFonts w:ascii="Cambria" w:hAnsi="Cambria"/>
          <w:sz w:val="18"/>
          <w:szCs w:val="18"/>
        </w:rPr>
        <w:t xml:space="preserve"> ve 1 ng/kg lektin dozlarının 1. saatte NO düzeyini kontrol grubuna göre azalttığı (p&lt;0.05) </w:t>
      </w:r>
      <w:r w:rsidRPr="00405719">
        <w:rPr>
          <w:rFonts w:ascii="Cambria" w:hAnsi="Cambria"/>
          <w:sz w:val="18"/>
          <w:szCs w:val="18"/>
        </w:rPr>
        <w:lastRenderedPageBreak/>
        <w:t xml:space="preserve">2 ng/kg lektin verilen grupta ise istatistiksel olarak bir değişimin olmadığı, daha sonra her üç lektin grubunda da grup içi NO miktarının zamanla arttığı, 12. saatte 1 ve 2 ng/kg lektin verilen grupların NO düzeyini 1 ve 6. saatlere göre arttırdığı (p&lt;0.05) gözlemlendi. Bütün gruplar arasında 12. saat ve sonrasında istatistiksel olarak bir değişimin olmadığı görüldü. 1. saatte NO miktarının </w:t>
      </w:r>
      <w:proofErr w:type="gramStart"/>
      <w:r w:rsidRPr="00405719">
        <w:rPr>
          <w:rFonts w:ascii="Cambria" w:hAnsi="Cambria"/>
          <w:sz w:val="18"/>
          <w:szCs w:val="18"/>
        </w:rPr>
        <w:t>0.5</w:t>
      </w:r>
      <w:proofErr w:type="gramEnd"/>
      <w:r w:rsidRPr="00405719">
        <w:rPr>
          <w:rFonts w:ascii="Cambria" w:hAnsi="Cambria"/>
          <w:sz w:val="18"/>
          <w:szCs w:val="18"/>
        </w:rPr>
        <w:t xml:space="preserve"> ve 1 ng/kg lektin verilen gruplarda azalması ML-I’in NO üzerine süpürücü etkisinden (</w:t>
      </w:r>
      <w:r w:rsidRPr="00405719">
        <w:rPr>
          <w:rFonts w:ascii="Cambria" w:hAnsi="Cambria"/>
          <w:bCs/>
          <w:sz w:val="18"/>
          <w:szCs w:val="18"/>
        </w:rPr>
        <w:t>Lee ve ark. 2007; Kim ve ark. 2010</w:t>
      </w:r>
      <w:r w:rsidRPr="00405719">
        <w:rPr>
          <w:rFonts w:ascii="Cambria" w:hAnsi="Cambria"/>
          <w:sz w:val="18"/>
          <w:szCs w:val="18"/>
        </w:rPr>
        <w:t>) 2 ng/kg lektin verilen grupta ise istatistiksel olarak bir değişimin olmaması lektinin sitotoksik etkisinden (Kang ve ark. 2008), 1. saatten sonra lektin verilen gruplarda NO miktarının artması ve 12. saatte kontrol grubu ile aynı düzeye gelmesi B zincirinden (Kang ve ark. 2008) kaynaklanabileceği kanaatini oluşturdu. Bazı sitokinlerin (IL-1, TNF, IF-γ) iNOS aktivitesini artırdığı (</w:t>
      </w:r>
      <w:r w:rsidRPr="00405719">
        <w:rPr>
          <w:rFonts w:ascii="Cambria" w:eastAsia="Calibri" w:hAnsi="Cambria"/>
          <w:sz w:val="18"/>
          <w:szCs w:val="18"/>
          <w:lang w:eastAsia="en-US"/>
        </w:rPr>
        <w:t>Ignarro 2010</w:t>
      </w:r>
      <w:r w:rsidRPr="00405719">
        <w:rPr>
          <w:rFonts w:ascii="Cambria" w:hAnsi="Cambria"/>
          <w:sz w:val="18"/>
          <w:szCs w:val="18"/>
        </w:rPr>
        <w:t xml:space="preserve">) bildirilse de çalışmada NO ve TNF-α düzeyleri arasında bir </w:t>
      </w:r>
      <w:proofErr w:type="gramStart"/>
      <w:r w:rsidRPr="00405719">
        <w:rPr>
          <w:rFonts w:ascii="Cambria" w:hAnsi="Cambria"/>
          <w:sz w:val="18"/>
          <w:szCs w:val="18"/>
        </w:rPr>
        <w:t>korelasyon</w:t>
      </w:r>
      <w:proofErr w:type="gramEnd"/>
      <w:r w:rsidRPr="00405719">
        <w:rPr>
          <w:rFonts w:ascii="Cambria" w:hAnsi="Cambria"/>
          <w:sz w:val="18"/>
          <w:szCs w:val="18"/>
        </w:rPr>
        <w:t xml:space="preserve"> bulunmaması, NO düzeylerini ML-I’in özellikle de B zincirinin değiştirdiği düşüncesine neden oldu (Kang ve ark. 2008). </w:t>
      </w:r>
    </w:p>
    <w:p w:rsidR="00467887" w:rsidRPr="00405719" w:rsidRDefault="00467887" w:rsidP="00467887">
      <w:pPr>
        <w:spacing w:before="60" w:after="60"/>
        <w:jc w:val="both"/>
        <w:rPr>
          <w:rFonts w:ascii="Cambria" w:hAnsi="Cambria"/>
          <w:sz w:val="18"/>
          <w:szCs w:val="18"/>
        </w:rPr>
      </w:pPr>
      <w:r w:rsidRPr="00405719">
        <w:rPr>
          <w:rFonts w:ascii="Cambria" w:hAnsi="Cambria"/>
          <w:sz w:val="18"/>
          <w:szCs w:val="18"/>
        </w:rPr>
        <w:lastRenderedPageBreak/>
        <w:t xml:space="preserve">Daha çok kanser tedavisi ve araştırmalarında kullanılan ökse otu ekstraktlarının antioksidan özelliklerine yönelik </w:t>
      </w:r>
      <w:r w:rsidRPr="00405719">
        <w:rPr>
          <w:rFonts w:ascii="Cambria" w:hAnsi="Cambria"/>
          <w:i/>
          <w:sz w:val="18"/>
          <w:szCs w:val="18"/>
        </w:rPr>
        <w:t>in vitro</w:t>
      </w:r>
      <w:r w:rsidRPr="00405719">
        <w:rPr>
          <w:rFonts w:ascii="Cambria" w:hAnsi="Cambria"/>
          <w:sz w:val="18"/>
          <w:szCs w:val="18"/>
        </w:rPr>
        <w:t xml:space="preserve"> </w:t>
      </w:r>
      <w:proofErr w:type="gramStart"/>
      <w:r w:rsidRPr="00405719">
        <w:rPr>
          <w:rFonts w:ascii="Cambria" w:hAnsi="Cambria"/>
          <w:sz w:val="18"/>
          <w:szCs w:val="18"/>
        </w:rPr>
        <w:t>(</w:t>
      </w:r>
      <w:proofErr w:type="gramEnd"/>
      <w:r w:rsidRPr="00405719">
        <w:rPr>
          <w:rFonts w:ascii="Cambria" w:hAnsi="Cambria"/>
          <w:sz w:val="18"/>
          <w:szCs w:val="18"/>
        </w:rPr>
        <w:t xml:space="preserve">Oluwaseun ve Ganiyu 2008; Roman ve ark. 2009; </w:t>
      </w:r>
      <w:r w:rsidRPr="00405719">
        <w:rPr>
          <w:rFonts w:ascii="Cambria" w:hAnsi="Cambria"/>
          <w:bCs/>
          <w:sz w:val="18"/>
          <w:szCs w:val="18"/>
        </w:rPr>
        <w:t>Papuc ve ark.</w:t>
      </w:r>
      <w:r w:rsidRPr="00405719">
        <w:rPr>
          <w:rFonts w:ascii="Cambria" w:hAnsi="Cambria"/>
          <w:sz w:val="18"/>
          <w:szCs w:val="18"/>
        </w:rPr>
        <w:t xml:space="preserve"> 2010; Barbasz ve ark. 2012) ve </w:t>
      </w:r>
      <w:r w:rsidRPr="00405719">
        <w:rPr>
          <w:rFonts w:ascii="Cambria" w:hAnsi="Cambria"/>
          <w:i/>
          <w:sz w:val="18"/>
          <w:szCs w:val="18"/>
        </w:rPr>
        <w:t>in vivo</w:t>
      </w:r>
      <w:r w:rsidRPr="00405719">
        <w:rPr>
          <w:rFonts w:ascii="Cambria" w:hAnsi="Cambria"/>
          <w:sz w:val="18"/>
          <w:szCs w:val="18"/>
        </w:rPr>
        <w:t xml:space="preserve"> (Cebovic ve Popovic 2006; Shi ve ark. </w:t>
      </w:r>
      <w:r w:rsidRPr="00405719">
        <w:rPr>
          <w:rFonts w:ascii="Cambria" w:hAnsi="Cambria"/>
          <w:color w:val="231F20"/>
          <w:sz w:val="18"/>
          <w:szCs w:val="18"/>
        </w:rPr>
        <w:t>2006;</w:t>
      </w:r>
      <w:r w:rsidRPr="00405719">
        <w:rPr>
          <w:rFonts w:ascii="Cambria" w:hAnsi="Cambria"/>
          <w:sz w:val="18"/>
          <w:szCs w:val="18"/>
        </w:rPr>
        <w:t xml:space="preserve"> Nwanjo 2007</w:t>
      </w:r>
      <w:proofErr w:type="gramStart"/>
      <w:r w:rsidRPr="00405719">
        <w:rPr>
          <w:rFonts w:ascii="Cambria" w:hAnsi="Cambria"/>
          <w:sz w:val="18"/>
          <w:szCs w:val="18"/>
        </w:rPr>
        <w:t>)</w:t>
      </w:r>
      <w:proofErr w:type="gramEnd"/>
      <w:r w:rsidRPr="00405719">
        <w:rPr>
          <w:rFonts w:ascii="Cambria" w:hAnsi="Cambria"/>
          <w:sz w:val="18"/>
          <w:szCs w:val="18"/>
        </w:rPr>
        <w:t xml:space="preserve"> çalışmalar yapılmış, </w:t>
      </w:r>
      <w:r w:rsidRPr="00405719">
        <w:rPr>
          <w:rFonts w:ascii="Cambria" w:hAnsi="Cambria"/>
          <w:i/>
          <w:sz w:val="18"/>
          <w:szCs w:val="18"/>
        </w:rPr>
        <w:t>in vitro</w:t>
      </w:r>
      <w:r w:rsidRPr="00405719">
        <w:rPr>
          <w:rFonts w:ascii="Cambria" w:hAnsi="Cambria"/>
          <w:sz w:val="18"/>
          <w:szCs w:val="18"/>
        </w:rPr>
        <w:t xml:space="preserve"> çalışmalarda ökse otunun antioksidan özellik yönünden etken maddelerinin fenolik asit ve flavonoidler olduğu (Oluwaseun ve Ganiyu, 2008; </w:t>
      </w:r>
      <w:r w:rsidRPr="00405719">
        <w:rPr>
          <w:rFonts w:ascii="Cambria" w:hAnsi="Cambria"/>
          <w:bCs/>
          <w:sz w:val="18"/>
          <w:szCs w:val="18"/>
        </w:rPr>
        <w:t>Papuc ve ark</w:t>
      </w:r>
      <w:r w:rsidRPr="00405719">
        <w:rPr>
          <w:rFonts w:ascii="Cambria" w:hAnsi="Cambria"/>
          <w:sz w:val="18"/>
          <w:szCs w:val="18"/>
        </w:rPr>
        <w:t xml:space="preserve"> 2010), fenolik bileşenlerin yanı sıra viskolektinlerin de ökse otunun antioksidan özelliğine katkıda bulunduğu (Roman ve ark. 2009), 42 µg/ml dozundaki lektinin DPPH’a karşı antioksidan özellik gösterdiği (Kim ve ark. 2010) ileri sürülmüştür.</w:t>
      </w:r>
    </w:p>
    <w:p w:rsidR="00467887" w:rsidRPr="00405719" w:rsidRDefault="00467887" w:rsidP="00467887">
      <w:pPr>
        <w:spacing w:before="60" w:after="60"/>
        <w:jc w:val="both"/>
        <w:rPr>
          <w:rFonts w:ascii="Cambria" w:hAnsi="Cambria"/>
          <w:sz w:val="18"/>
          <w:szCs w:val="18"/>
        </w:rPr>
      </w:pPr>
      <w:r w:rsidRPr="00405719">
        <w:rPr>
          <w:rFonts w:ascii="Cambria" w:hAnsi="Cambria"/>
          <w:sz w:val="18"/>
          <w:szCs w:val="18"/>
        </w:rPr>
        <w:t xml:space="preserve">Literatürde ökse otu bitkisinden elde edilen ekstraktların bazı oksidan ve antioksidan parametrelere olan etkisine bakılan çalışmaların </w:t>
      </w:r>
      <w:proofErr w:type="gramStart"/>
      <w:r w:rsidRPr="00405719">
        <w:rPr>
          <w:rFonts w:ascii="Cambria" w:hAnsi="Cambria"/>
          <w:sz w:val="18"/>
          <w:szCs w:val="18"/>
        </w:rPr>
        <w:t>(</w:t>
      </w:r>
      <w:proofErr w:type="gramEnd"/>
      <w:r w:rsidRPr="00405719">
        <w:rPr>
          <w:rFonts w:ascii="Cambria" w:hAnsi="Cambria"/>
          <w:sz w:val="18"/>
          <w:szCs w:val="18"/>
        </w:rPr>
        <w:t xml:space="preserve">Orhan ve ark. 2005; Cebovic ve Popovic 2006; </w:t>
      </w:r>
      <w:r w:rsidRPr="00405719">
        <w:rPr>
          <w:rFonts w:ascii="Cambria" w:eastAsia="Arial Unicode MS" w:hAnsi="Cambria"/>
          <w:sz w:val="18"/>
          <w:szCs w:val="18"/>
        </w:rPr>
        <w:t>Leu ve ark. 2006</w:t>
      </w:r>
      <w:r w:rsidRPr="00405719">
        <w:rPr>
          <w:rFonts w:ascii="Cambria" w:hAnsi="Cambria"/>
          <w:sz w:val="18"/>
          <w:szCs w:val="18"/>
        </w:rPr>
        <w:t>; Shi ve ark. 2006; Nwanjo 2007</w:t>
      </w:r>
      <w:proofErr w:type="gramStart"/>
      <w:r w:rsidRPr="00405719">
        <w:rPr>
          <w:rFonts w:ascii="Cambria" w:hAnsi="Cambria"/>
          <w:sz w:val="18"/>
          <w:szCs w:val="18"/>
        </w:rPr>
        <w:t>)</w:t>
      </w:r>
      <w:proofErr w:type="gramEnd"/>
      <w:r w:rsidRPr="00405719">
        <w:rPr>
          <w:rFonts w:ascii="Cambria" w:hAnsi="Cambria"/>
          <w:sz w:val="18"/>
          <w:szCs w:val="18"/>
        </w:rPr>
        <w:t xml:space="preserve"> olmasına rağmen, ML-I’in </w:t>
      </w:r>
      <w:r w:rsidRPr="00405719">
        <w:rPr>
          <w:rFonts w:ascii="Cambria" w:hAnsi="Cambria"/>
          <w:i/>
          <w:sz w:val="18"/>
          <w:szCs w:val="18"/>
        </w:rPr>
        <w:t>in vivo</w:t>
      </w:r>
      <w:r w:rsidRPr="00405719">
        <w:rPr>
          <w:rFonts w:ascii="Cambria" w:hAnsi="Cambria"/>
          <w:sz w:val="18"/>
          <w:szCs w:val="18"/>
        </w:rPr>
        <w:t xml:space="preserve"> olarak total antioksidan ve oksidan kapasite üzerine olan etkilerine bakılan çalışmalara rastlanmadı. Yapılan çalışmada, ML-I’in TAK ve TOK düzeylerine önemli bir etkisinin olmadığı, sadece </w:t>
      </w:r>
      <w:proofErr w:type="gramStart"/>
      <w:r w:rsidRPr="00405719">
        <w:rPr>
          <w:rFonts w:ascii="Cambria" w:hAnsi="Cambria"/>
          <w:sz w:val="18"/>
          <w:szCs w:val="18"/>
        </w:rPr>
        <w:t>0.5</w:t>
      </w:r>
      <w:proofErr w:type="gramEnd"/>
      <w:r w:rsidRPr="00405719">
        <w:rPr>
          <w:rFonts w:ascii="Cambria" w:hAnsi="Cambria"/>
          <w:sz w:val="18"/>
          <w:szCs w:val="18"/>
        </w:rPr>
        <w:t xml:space="preserve"> ng/kg ML-I verilen grupta 1. saatteki TAK düzeyinin diğer saatlerdekine göre istatistiksel olarak önemli bir artış gösterdiği, NO düzeyinin de azaldığı gözlendi. Düşük konsantrasyondaki ML-I’in akut olarak antioksidan etki gösterebileceği </w:t>
      </w:r>
      <w:proofErr w:type="gramStart"/>
      <w:r w:rsidRPr="00405719">
        <w:rPr>
          <w:rFonts w:ascii="Cambria" w:hAnsi="Cambria"/>
          <w:sz w:val="18"/>
          <w:szCs w:val="18"/>
        </w:rPr>
        <w:t>(</w:t>
      </w:r>
      <w:proofErr w:type="gramEnd"/>
      <w:r w:rsidRPr="00405719">
        <w:rPr>
          <w:rFonts w:ascii="Cambria" w:hAnsi="Cambria"/>
          <w:sz w:val="18"/>
          <w:szCs w:val="18"/>
        </w:rPr>
        <w:t xml:space="preserve">Kim ve ark. 2010) kanaatine varıldı. </w:t>
      </w:r>
    </w:p>
    <w:p w:rsidR="001D06C6" w:rsidRDefault="00467887" w:rsidP="00467887">
      <w:pPr>
        <w:spacing w:before="60" w:after="60"/>
        <w:jc w:val="both"/>
        <w:rPr>
          <w:rFonts w:ascii="Cambria" w:hAnsi="Cambria"/>
          <w:sz w:val="18"/>
          <w:szCs w:val="18"/>
        </w:rPr>
      </w:pPr>
      <w:r w:rsidRPr="00405719">
        <w:rPr>
          <w:rFonts w:ascii="Cambria" w:hAnsi="Cambria"/>
          <w:sz w:val="18"/>
          <w:szCs w:val="18"/>
        </w:rPr>
        <w:t xml:space="preserve">Sonuç olarak </w:t>
      </w:r>
      <w:proofErr w:type="gramStart"/>
      <w:r w:rsidRPr="00405719">
        <w:rPr>
          <w:rFonts w:ascii="Cambria" w:hAnsi="Cambria"/>
          <w:sz w:val="18"/>
          <w:szCs w:val="18"/>
        </w:rPr>
        <w:t>0.5</w:t>
      </w:r>
      <w:proofErr w:type="gramEnd"/>
      <w:r w:rsidRPr="00405719">
        <w:rPr>
          <w:rFonts w:ascii="Cambria" w:hAnsi="Cambria"/>
          <w:sz w:val="18"/>
          <w:szCs w:val="18"/>
        </w:rPr>
        <w:t xml:space="preserve"> ng/kg dozundaki ML-I’in TNF-α ve NO düzeylerinde değişiklik meydana getirdiği, akut olarak antioksidan özellik gösterebileceği gözlendi. Literatürdeki </w:t>
      </w:r>
      <w:r w:rsidRPr="00405719">
        <w:rPr>
          <w:rFonts w:ascii="Cambria" w:hAnsi="Cambria"/>
          <w:i/>
          <w:sz w:val="18"/>
          <w:szCs w:val="18"/>
        </w:rPr>
        <w:t>in vivo</w:t>
      </w:r>
      <w:r w:rsidRPr="00405719">
        <w:rPr>
          <w:rFonts w:ascii="Cambria" w:hAnsi="Cambria"/>
          <w:sz w:val="18"/>
          <w:szCs w:val="18"/>
        </w:rPr>
        <w:t xml:space="preserve"> ve </w:t>
      </w:r>
      <w:r w:rsidRPr="00405719">
        <w:rPr>
          <w:rFonts w:ascii="Cambria" w:hAnsi="Cambria"/>
          <w:i/>
          <w:sz w:val="18"/>
          <w:szCs w:val="18"/>
        </w:rPr>
        <w:t>in vitro</w:t>
      </w:r>
      <w:r w:rsidRPr="00405719">
        <w:rPr>
          <w:rFonts w:ascii="Cambria" w:hAnsi="Cambria"/>
          <w:sz w:val="18"/>
          <w:szCs w:val="18"/>
        </w:rPr>
        <w:t xml:space="preserve"> çalışmalar incelendiğinde, ML-I’in etkin dozuna dair verilerin farklılıklar gösterdiği ve bu farklılıkların çeşitli etmenlerden (kullanılan hücre tipi, kültür ortamının katkıları vs) etkilendiği ileri sürülmüştür. Gerek immün sistemin yapı ve işleyiş mekanizmasının gerekse ML-I in immün sistem üzerindeki etkilerine dair mekanizmaların tam olarak aydınlatılamamış olması ML-I ile ilgili daha fazla çalışmanın yapılması gerektiği, </w:t>
      </w:r>
      <w:r w:rsidRPr="00405719">
        <w:rPr>
          <w:rFonts w:ascii="Cambria" w:hAnsi="Cambria"/>
          <w:i/>
          <w:sz w:val="18"/>
          <w:szCs w:val="18"/>
        </w:rPr>
        <w:t>in vivo</w:t>
      </w:r>
      <w:r w:rsidRPr="00405719">
        <w:rPr>
          <w:rFonts w:ascii="Cambria" w:hAnsi="Cambria"/>
          <w:sz w:val="18"/>
          <w:szCs w:val="18"/>
        </w:rPr>
        <w:t xml:space="preserve"> olarak yapılan bu çalışmanın yapılacak çalışmalara katkı sağlayabileceği sonucuna varıldı. </w:t>
      </w:r>
      <w:r w:rsidR="00770168" w:rsidRPr="0062132F">
        <w:rPr>
          <w:rFonts w:ascii="Cambria" w:hAnsi="Cambria"/>
          <w:sz w:val="18"/>
          <w:szCs w:val="18"/>
        </w:rPr>
        <w:t xml:space="preserve"> </w:t>
      </w:r>
    </w:p>
    <w:p w:rsidR="001D06C6" w:rsidRPr="001D06C6" w:rsidRDefault="001D06C6" w:rsidP="00155D6C">
      <w:pPr>
        <w:pBdr>
          <w:top w:val="single" w:sz="4" w:space="1" w:color="auto"/>
        </w:pBdr>
        <w:shd w:val="clear" w:color="auto" w:fill="FFFFFF"/>
        <w:spacing w:before="240" w:after="120"/>
        <w:jc w:val="both"/>
        <w:rPr>
          <w:rFonts w:ascii="Cambria" w:hAnsi="Cambria"/>
          <w:b/>
          <w:color w:val="000000"/>
          <w:sz w:val="20"/>
          <w:szCs w:val="18"/>
        </w:rPr>
      </w:pPr>
      <w:r w:rsidRPr="001D06C6">
        <w:rPr>
          <w:rFonts w:ascii="Cambria" w:hAnsi="Cambria"/>
          <w:b/>
          <w:color w:val="000000"/>
          <w:sz w:val="20"/>
          <w:szCs w:val="18"/>
        </w:rPr>
        <w:t>TEŞEKKÜR</w:t>
      </w:r>
    </w:p>
    <w:p w:rsidR="001D06C6" w:rsidRPr="001F7A03" w:rsidRDefault="001D06C6" w:rsidP="001D06C6">
      <w:pPr>
        <w:spacing w:before="60" w:after="60"/>
        <w:jc w:val="both"/>
        <w:rPr>
          <w:rFonts w:ascii="Cambria" w:hAnsi="Cambria"/>
          <w:sz w:val="18"/>
          <w:szCs w:val="18"/>
        </w:rPr>
      </w:pPr>
      <w:r w:rsidRPr="008D2A54">
        <w:rPr>
          <w:rFonts w:ascii="Cambria" w:hAnsi="Cambria"/>
          <w:sz w:val="18"/>
        </w:rPr>
        <w:t>Bu araştırma</w:t>
      </w:r>
      <w:r w:rsidR="007E13D9">
        <w:rPr>
          <w:rFonts w:ascii="Cambria" w:hAnsi="Cambria"/>
          <w:sz w:val="18"/>
        </w:rPr>
        <w:t xml:space="preserve">, </w:t>
      </w:r>
      <w:r w:rsidR="00945151">
        <w:rPr>
          <w:rFonts w:ascii="Cambria" w:hAnsi="Cambria"/>
          <w:sz w:val="18"/>
          <w:szCs w:val="18"/>
        </w:rPr>
        <w:t>Kafkas</w:t>
      </w:r>
      <w:r w:rsidR="007E13D9" w:rsidRPr="0062132F">
        <w:rPr>
          <w:rFonts w:ascii="Cambria" w:hAnsi="Cambria"/>
          <w:sz w:val="18"/>
          <w:szCs w:val="18"/>
        </w:rPr>
        <w:t xml:space="preserve"> Üniversitesi,</w:t>
      </w:r>
      <w:r w:rsidR="007E13D9" w:rsidRPr="008D2A54">
        <w:rPr>
          <w:rFonts w:ascii="Cambria" w:hAnsi="Cambria"/>
          <w:sz w:val="18"/>
        </w:rPr>
        <w:t xml:space="preserve"> Bilimsel </w:t>
      </w:r>
      <w:r w:rsidR="007E13D9">
        <w:rPr>
          <w:rFonts w:ascii="Cambria" w:hAnsi="Cambria"/>
          <w:sz w:val="18"/>
        </w:rPr>
        <w:t xml:space="preserve">Araştırma Projeleri </w:t>
      </w:r>
      <w:r w:rsidR="00945151">
        <w:rPr>
          <w:rFonts w:ascii="Cambria" w:hAnsi="Cambria"/>
          <w:sz w:val="18"/>
        </w:rPr>
        <w:t>Koordinasyon Birimi</w:t>
      </w:r>
      <w:r w:rsidR="007E13D9">
        <w:rPr>
          <w:rFonts w:ascii="Cambria" w:hAnsi="Cambria"/>
          <w:sz w:val="18"/>
        </w:rPr>
        <w:t xml:space="preserve"> tarafından</w:t>
      </w:r>
      <w:r w:rsidRPr="008D2A54">
        <w:rPr>
          <w:rFonts w:ascii="Cambria" w:hAnsi="Cambria"/>
          <w:sz w:val="18"/>
        </w:rPr>
        <w:t xml:space="preserve"> </w:t>
      </w:r>
      <w:r w:rsidR="00945151">
        <w:rPr>
          <w:rFonts w:ascii="Cambria" w:hAnsi="Cambria"/>
          <w:sz w:val="18"/>
          <w:szCs w:val="18"/>
        </w:rPr>
        <w:t>2011-</w:t>
      </w:r>
      <w:r w:rsidR="00945151" w:rsidRPr="00405719">
        <w:rPr>
          <w:rFonts w:ascii="Cambria" w:hAnsi="Cambria"/>
          <w:sz w:val="18"/>
          <w:szCs w:val="18"/>
        </w:rPr>
        <w:t>VF-41</w:t>
      </w:r>
      <w:r w:rsidR="006601DB" w:rsidRPr="0062132F">
        <w:rPr>
          <w:rFonts w:ascii="Cambria" w:hAnsi="Cambria"/>
          <w:sz w:val="18"/>
          <w:szCs w:val="18"/>
        </w:rPr>
        <w:t xml:space="preserve"> </w:t>
      </w:r>
      <w:r w:rsidRPr="008D2A54">
        <w:rPr>
          <w:rFonts w:ascii="Cambria" w:hAnsi="Cambria"/>
          <w:sz w:val="18"/>
        </w:rPr>
        <w:t>nolu proje ile destekle</w:t>
      </w:r>
      <w:r w:rsidR="007E13D9">
        <w:rPr>
          <w:rFonts w:ascii="Cambria" w:hAnsi="Cambria"/>
          <w:sz w:val="18"/>
        </w:rPr>
        <w:t>nmiştir</w:t>
      </w:r>
      <w:r w:rsidRPr="008D2A54">
        <w:rPr>
          <w:rFonts w:ascii="Cambria" w:hAnsi="Cambria"/>
          <w:sz w:val="18"/>
        </w:rPr>
        <w:t>.</w:t>
      </w:r>
    </w:p>
    <w:p w:rsidR="004F6EED" w:rsidRPr="00E24CB2" w:rsidRDefault="004F6EED" w:rsidP="00155D6C">
      <w:pPr>
        <w:pBdr>
          <w:top w:val="single" w:sz="4" w:space="1" w:color="auto"/>
        </w:pBdr>
        <w:autoSpaceDE w:val="0"/>
        <w:autoSpaceDN w:val="0"/>
        <w:adjustRightInd w:val="0"/>
        <w:spacing w:before="240" w:after="120"/>
        <w:rPr>
          <w:rFonts w:ascii="Cambria" w:hAnsi="Cambria"/>
          <w:b/>
          <w:sz w:val="18"/>
          <w:szCs w:val="20"/>
        </w:rPr>
      </w:pPr>
      <w:r w:rsidRPr="00E24CB2">
        <w:rPr>
          <w:rFonts w:ascii="Cambria" w:hAnsi="Cambria"/>
          <w:b/>
          <w:sz w:val="20"/>
          <w:szCs w:val="20"/>
        </w:rPr>
        <w:t>KAYNAKLAR</w:t>
      </w:r>
    </w:p>
    <w:p w:rsidR="00467887" w:rsidRPr="00405719" w:rsidRDefault="00467887" w:rsidP="00467887">
      <w:pPr>
        <w:spacing w:before="60" w:after="60"/>
        <w:ind w:left="284" w:hanging="284"/>
        <w:jc w:val="both"/>
        <w:rPr>
          <w:rFonts w:ascii="Cambria" w:hAnsi="Cambria"/>
          <w:sz w:val="14"/>
          <w:szCs w:val="18"/>
        </w:rPr>
      </w:pPr>
      <w:bookmarkStart w:id="1" w:name="OLE_LINK1"/>
      <w:bookmarkStart w:id="2" w:name="OLE_LINK2"/>
      <w:r w:rsidRPr="00405719">
        <w:rPr>
          <w:rFonts w:ascii="Cambria" w:hAnsi="Cambria"/>
          <w:b/>
          <w:sz w:val="14"/>
          <w:szCs w:val="18"/>
        </w:rPr>
        <w:t xml:space="preserve">Bantel H, Engels IH. </w:t>
      </w:r>
      <w:r w:rsidRPr="00405719">
        <w:rPr>
          <w:rFonts w:ascii="Cambria" w:hAnsi="Cambria"/>
          <w:b/>
          <w:bCs/>
          <w:sz w:val="14"/>
          <w:szCs w:val="18"/>
        </w:rPr>
        <w:t xml:space="preserve">Voelter W, Schulze-Osthoff K, Wesselborg S </w:t>
      </w:r>
      <w:r w:rsidRPr="00405719">
        <w:rPr>
          <w:rFonts w:ascii="Cambria" w:hAnsi="Cambria"/>
          <w:b/>
          <w:sz w:val="14"/>
          <w:szCs w:val="18"/>
        </w:rPr>
        <w:t xml:space="preserve">(1999). </w:t>
      </w:r>
      <w:r w:rsidRPr="00405719">
        <w:rPr>
          <w:rFonts w:ascii="Cambria" w:hAnsi="Cambria"/>
          <w:sz w:val="14"/>
          <w:szCs w:val="18"/>
        </w:rPr>
        <w:t xml:space="preserve">Mistletoe lectin activates caspase-8/FLICE independently of death receptor signaling and enhances anticancer drug-induced apoptosis. </w:t>
      </w:r>
      <w:r w:rsidRPr="00405719">
        <w:rPr>
          <w:rFonts w:ascii="Cambria" w:hAnsi="Cambria"/>
          <w:i/>
          <w:iCs/>
          <w:sz w:val="14"/>
          <w:szCs w:val="18"/>
        </w:rPr>
        <w:t>Cancer Res</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bCs/>
          <w:sz w:val="14"/>
          <w:szCs w:val="18"/>
        </w:rPr>
        <w:t xml:space="preserve">59, </w:t>
      </w:r>
      <w:r w:rsidRPr="00405719">
        <w:rPr>
          <w:rFonts w:ascii="Cambria" w:hAnsi="Cambria"/>
          <w:sz w:val="14"/>
          <w:szCs w:val="18"/>
        </w:rPr>
        <w:t xml:space="preserve">2083-2090.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Barbasz A, Kreczmer B, Rudolphi-Skorska E, Sieprawska A, Woznica D (2012).</w:t>
      </w:r>
      <w:r w:rsidRPr="00405719">
        <w:rPr>
          <w:rFonts w:ascii="Cambria" w:hAnsi="Cambria"/>
          <w:sz w:val="14"/>
          <w:szCs w:val="18"/>
        </w:rPr>
        <w:t xml:space="preserve"> Content of antioxidant in extracts of mistletoe (</w:t>
      </w:r>
      <w:r w:rsidRPr="00405719">
        <w:rPr>
          <w:rFonts w:ascii="Cambria" w:hAnsi="Cambria"/>
          <w:i/>
          <w:sz w:val="14"/>
          <w:szCs w:val="18"/>
        </w:rPr>
        <w:t>Viscum album L</w:t>
      </w:r>
      <w:r w:rsidRPr="00405719">
        <w:rPr>
          <w:rFonts w:ascii="Cambria" w:hAnsi="Cambria"/>
          <w:sz w:val="14"/>
          <w:szCs w:val="18"/>
        </w:rPr>
        <w:t>.), yew (</w:t>
      </w:r>
      <w:r w:rsidRPr="00405719">
        <w:rPr>
          <w:rFonts w:ascii="Cambria" w:hAnsi="Cambria"/>
          <w:i/>
          <w:sz w:val="14"/>
          <w:szCs w:val="18"/>
        </w:rPr>
        <w:t>Taxus baccata L.</w:t>
      </w:r>
      <w:r w:rsidRPr="00405719">
        <w:rPr>
          <w:rFonts w:ascii="Cambria" w:hAnsi="Cambria"/>
          <w:sz w:val="14"/>
          <w:szCs w:val="18"/>
        </w:rPr>
        <w:t>), pine (</w:t>
      </w:r>
      <w:r w:rsidRPr="00405719">
        <w:rPr>
          <w:rFonts w:ascii="Cambria" w:hAnsi="Cambria"/>
          <w:i/>
          <w:sz w:val="14"/>
          <w:szCs w:val="18"/>
        </w:rPr>
        <w:t>Pinus sylvestris L.</w:t>
      </w:r>
      <w:r w:rsidRPr="00405719">
        <w:rPr>
          <w:rFonts w:ascii="Cambria" w:hAnsi="Cambria"/>
          <w:sz w:val="14"/>
          <w:szCs w:val="18"/>
        </w:rPr>
        <w:t>) and fir (</w:t>
      </w:r>
      <w:r w:rsidRPr="00405719">
        <w:rPr>
          <w:rFonts w:ascii="Cambria" w:hAnsi="Cambria"/>
          <w:i/>
          <w:sz w:val="14"/>
          <w:szCs w:val="18"/>
        </w:rPr>
        <w:t>Abies alba Mill.</w:t>
      </w:r>
      <w:r w:rsidRPr="00405719">
        <w:rPr>
          <w:rFonts w:ascii="Cambria" w:hAnsi="Cambria"/>
          <w:sz w:val="14"/>
          <w:szCs w:val="18"/>
        </w:rPr>
        <w:t xml:space="preserve">). </w:t>
      </w:r>
      <w:r w:rsidRPr="00405719">
        <w:rPr>
          <w:rFonts w:ascii="Cambria" w:hAnsi="Cambria"/>
          <w:i/>
          <w:sz w:val="14"/>
          <w:szCs w:val="18"/>
        </w:rPr>
        <w:t>Herba Polonica</w:t>
      </w:r>
      <w:r w:rsidRPr="00405719">
        <w:rPr>
          <w:rFonts w:ascii="Cambria" w:hAnsi="Cambria"/>
          <w:sz w:val="14"/>
          <w:szCs w:val="18"/>
        </w:rPr>
        <w:t xml:space="preserve">, 58, 27-36.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Beuth J, Stoffel B, Ko HL, Jeljaszewicz J, Pulverer G (1995).</w:t>
      </w:r>
      <w:r w:rsidRPr="00405719">
        <w:rPr>
          <w:rFonts w:ascii="Cambria" w:hAnsi="Cambria"/>
          <w:sz w:val="14"/>
          <w:szCs w:val="18"/>
        </w:rPr>
        <w:t xml:space="preserve"> Immunomodulating ability of galactoside-specific lectin standardized and depleted mistletoe extract. </w:t>
      </w:r>
      <w:r w:rsidRPr="00405719">
        <w:rPr>
          <w:rFonts w:ascii="Cambria" w:hAnsi="Cambria"/>
          <w:i/>
          <w:sz w:val="14"/>
          <w:szCs w:val="18"/>
        </w:rPr>
        <w:t>Arzneimittel-Forschung: Drug Res</w:t>
      </w:r>
      <w:r w:rsidRPr="00405719">
        <w:rPr>
          <w:rFonts w:ascii="Cambria" w:hAnsi="Cambria"/>
          <w:sz w:val="14"/>
          <w:szCs w:val="18"/>
        </w:rPr>
        <w:t xml:space="preserve">, 45, 1240-1242. </w:t>
      </w:r>
    </w:p>
    <w:p w:rsidR="00467887" w:rsidRPr="00405719" w:rsidRDefault="00467887" w:rsidP="00467887">
      <w:pPr>
        <w:spacing w:before="60" w:after="60"/>
        <w:ind w:left="284" w:hanging="284"/>
        <w:jc w:val="both"/>
        <w:rPr>
          <w:rFonts w:ascii="Cambria" w:hAnsi="Cambria"/>
          <w:iCs/>
          <w:sz w:val="14"/>
          <w:szCs w:val="18"/>
        </w:rPr>
      </w:pPr>
      <w:r w:rsidRPr="00405719">
        <w:rPr>
          <w:rFonts w:ascii="Cambria" w:hAnsi="Cambria"/>
          <w:b/>
          <w:iCs/>
          <w:sz w:val="14"/>
          <w:szCs w:val="18"/>
        </w:rPr>
        <w:t>Biberstein SE, Spiro JD, Lindquist R, Kreutzer DL (1995).</w:t>
      </w:r>
      <w:r w:rsidRPr="00405719">
        <w:rPr>
          <w:rFonts w:ascii="Cambria" w:hAnsi="Cambria"/>
          <w:iCs/>
          <w:sz w:val="14"/>
          <w:szCs w:val="18"/>
        </w:rPr>
        <w:t xml:space="preserve"> Enhanced tumor cell expression of tumor necrosis factor receptors in head and neck squamous cell carcinoma. </w:t>
      </w:r>
      <w:r w:rsidRPr="00405719">
        <w:rPr>
          <w:rFonts w:ascii="Cambria" w:hAnsi="Cambria"/>
          <w:i/>
          <w:iCs/>
          <w:sz w:val="14"/>
          <w:szCs w:val="18"/>
        </w:rPr>
        <w:t>AM J Surg</w:t>
      </w:r>
      <w:r w:rsidRPr="00405719">
        <w:rPr>
          <w:rFonts w:ascii="Cambria" w:hAnsi="Cambria"/>
          <w:iCs/>
          <w:sz w:val="14"/>
          <w:szCs w:val="18"/>
        </w:rPr>
        <w:t xml:space="preserve">, 170, 416-422.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Boneberg E-M, Hartung T(2001).</w:t>
      </w:r>
      <w:r w:rsidRPr="00405719">
        <w:rPr>
          <w:rFonts w:ascii="Cambria" w:hAnsi="Cambria"/>
          <w:sz w:val="14"/>
          <w:szCs w:val="18"/>
        </w:rPr>
        <w:t xml:space="preserve"> Mistletoe lectin-I increases tumor necrosis factor-α release in lipopolysaccharide-stimulated whole blood via inhibition of interleukin-10 production. </w:t>
      </w:r>
      <w:r w:rsidRPr="00405719">
        <w:rPr>
          <w:rFonts w:ascii="Cambria" w:hAnsi="Cambria"/>
          <w:i/>
          <w:sz w:val="14"/>
          <w:szCs w:val="18"/>
        </w:rPr>
        <w:t>J Pharm Exp Therap</w:t>
      </w:r>
      <w:r w:rsidRPr="00405719">
        <w:rPr>
          <w:rFonts w:ascii="Cambria" w:hAnsi="Cambria"/>
          <w:sz w:val="14"/>
          <w:szCs w:val="18"/>
        </w:rPr>
        <w:t>, 298 (3), 996-1000.</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Büssing A, Suzart K, Schweizer K (1997).</w:t>
      </w:r>
      <w:r w:rsidRPr="00405719">
        <w:rPr>
          <w:rFonts w:ascii="Cambria" w:hAnsi="Cambria"/>
          <w:sz w:val="14"/>
          <w:szCs w:val="18"/>
        </w:rPr>
        <w:t xml:space="preserve"> </w:t>
      </w:r>
      <w:r w:rsidRPr="00405719">
        <w:rPr>
          <w:rFonts w:ascii="Cambria" w:hAnsi="Cambria"/>
          <w:bCs/>
          <w:kern w:val="36"/>
          <w:sz w:val="14"/>
          <w:szCs w:val="18"/>
        </w:rPr>
        <w:t xml:space="preserve">Differences in the apoptosis-inducing properties of </w:t>
      </w:r>
      <w:r w:rsidRPr="00405719">
        <w:rPr>
          <w:rFonts w:ascii="Cambria" w:hAnsi="Cambria"/>
          <w:bCs/>
          <w:i/>
          <w:kern w:val="36"/>
          <w:sz w:val="14"/>
          <w:szCs w:val="18"/>
        </w:rPr>
        <w:t xml:space="preserve">Viscum album </w:t>
      </w:r>
      <w:r w:rsidRPr="00405719">
        <w:rPr>
          <w:rFonts w:ascii="Cambria" w:hAnsi="Cambria"/>
          <w:bCs/>
          <w:kern w:val="36"/>
          <w:sz w:val="14"/>
          <w:szCs w:val="18"/>
        </w:rPr>
        <w:t xml:space="preserve">L. extracts. </w:t>
      </w:r>
      <w:r w:rsidRPr="00405719">
        <w:rPr>
          <w:rFonts w:ascii="Cambria" w:hAnsi="Cambria"/>
          <w:i/>
          <w:sz w:val="14"/>
          <w:szCs w:val="18"/>
        </w:rPr>
        <w:t>Anticancer Drugs Suppl</w:t>
      </w:r>
      <w:r w:rsidRPr="00405719">
        <w:rPr>
          <w:rFonts w:ascii="Cambria" w:hAnsi="Cambria"/>
          <w:sz w:val="14"/>
          <w:szCs w:val="18"/>
        </w:rPr>
        <w:t xml:space="preserve">, 1, 9-14.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lastRenderedPageBreak/>
        <w:t>Büssing A, Suzart K, Pfüller U, Schietzel M (1999).</w:t>
      </w:r>
      <w:r w:rsidRPr="00405719">
        <w:rPr>
          <w:rFonts w:ascii="Cambria" w:hAnsi="Cambria"/>
          <w:sz w:val="14"/>
          <w:szCs w:val="18"/>
        </w:rPr>
        <w:t xml:space="preserve"> Induction of Fas ligand (CD95L) by the toxic mistletoe lectins in human lymphocytes. </w:t>
      </w:r>
      <w:r w:rsidRPr="00405719">
        <w:rPr>
          <w:rFonts w:ascii="Cambria" w:hAnsi="Cambria"/>
          <w:bCs/>
          <w:i/>
          <w:sz w:val="14"/>
          <w:szCs w:val="18"/>
        </w:rPr>
        <w:t>Anticancer Res</w:t>
      </w:r>
      <w:r w:rsidRPr="00405719">
        <w:rPr>
          <w:rFonts w:ascii="Cambria" w:hAnsi="Cambria"/>
          <w:bCs/>
          <w:sz w:val="14"/>
          <w:szCs w:val="18"/>
        </w:rPr>
        <w:t>,</w:t>
      </w:r>
      <w:r w:rsidRPr="00405719">
        <w:rPr>
          <w:rFonts w:ascii="Cambria" w:hAnsi="Cambria"/>
          <w:sz w:val="14"/>
          <w:szCs w:val="18"/>
        </w:rPr>
        <w:t xml:space="preserve"> 19, 1785-1790.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Cebovic T, Popovic M (2006).</w:t>
      </w:r>
      <w:r w:rsidRPr="00405719">
        <w:rPr>
          <w:rFonts w:ascii="Cambria" w:hAnsi="Cambria"/>
          <w:sz w:val="14"/>
          <w:szCs w:val="18"/>
        </w:rPr>
        <w:t xml:space="preserve"> Effects of different extracts of mistletoe leaves ( </w:t>
      </w:r>
      <w:r w:rsidRPr="00405719">
        <w:rPr>
          <w:rFonts w:ascii="Cambria" w:hAnsi="Cambria"/>
          <w:i/>
          <w:sz w:val="14"/>
          <w:szCs w:val="18"/>
        </w:rPr>
        <w:t>Viscum album</w:t>
      </w:r>
      <w:r w:rsidRPr="00405719">
        <w:rPr>
          <w:rFonts w:ascii="Cambria" w:hAnsi="Cambria"/>
          <w:sz w:val="14"/>
          <w:szCs w:val="18"/>
        </w:rPr>
        <w:t xml:space="preserve"> L.) on CCl</w:t>
      </w:r>
      <w:r w:rsidRPr="00405719">
        <w:rPr>
          <w:rFonts w:ascii="Cambria" w:hAnsi="Cambria"/>
          <w:sz w:val="14"/>
          <w:szCs w:val="18"/>
          <w:vertAlign w:val="subscript"/>
        </w:rPr>
        <w:t>4</w:t>
      </w:r>
      <w:r w:rsidRPr="00405719">
        <w:rPr>
          <w:rFonts w:ascii="Cambria" w:hAnsi="Cambria"/>
          <w:sz w:val="14"/>
          <w:szCs w:val="18"/>
        </w:rPr>
        <w:t xml:space="preserve">-induced hepatotoxicity in rats. </w:t>
      </w:r>
      <w:r w:rsidRPr="00405719">
        <w:rPr>
          <w:rFonts w:ascii="Cambria" w:hAnsi="Cambria"/>
          <w:i/>
          <w:sz w:val="14"/>
          <w:szCs w:val="18"/>
        </w:rPr>
        <w:t>Tox Lett (Abs.)</w:t>
      </w:r>
      <w:r w:rsidRPr="00405719">
        <w:rPr>
          <w:rFonts w:ascii="Cambria" w:hAnsi="Cambria"/>
          <w:sz w:val="14"/>
          <w:szCs w:val="18"/>
        </w:rPr>
        <w:t>, 164-174.</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Danjolli D, Akşit H (2016).</w:t>
      </w:r>
      <w:r w:rsidRPr="00405719">
        <w:rPr>
          <w:rFonts w:ascii="Cambria" w:hAnsi="Cambria"/>
          <w:sz w:val="14"/>
          <w:szCs w:val="18"/>
        </w:rPr>
        <w:t xml:space="preserve"> Effects of N acetylcysteine on expression and localization of some lectins in the liver of experimental hepatic intoxication. </w:t>
      </w:r>
      <w:r w:rsidRPr="00405719">
        <w:rPr>
          <w:rFonts w:ascii="Cambria" w:hAnsi="Cambria"/>
          <w:i/>
          <w:sz w:val="14"/>
          <w:szCs w:val="18"/>
        </w:rPr>
        <w:t>Van Vet J</w:t>
      </w:r>
      <w:r w:rsidRPr="00405719">
        <w:rPr>
          <w:rFonts w:ascii="Cambria" w:hAnsi="Cambria"/>
          <w:sz w:val="14"/>
          <w:szCs w:val="18"/>
        </w:rPr>
        <w:t>, 11-16.</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bCs/>
          <w:sz w:val="14"/>
          <w:szCs w:val="18"/>
        </w:rPr>
        <w:t>Finkel T (1998).</w:t>
      </w:r>
      <w:r w:rsidRPr="00405719">
        <w:rPr>
          <w:rFonts w:ascii="Cambria" w:hAnsi="Cambria"/>
          <w:bCs/>
          <w:sz w:val="14"/>
          <w:szCs w:val="18"/>
        </w:rPr>
        <w:t xml:space="preserve"> Oxygen radicals and signaling. </w:t>
      </w:r>
      <w:r w:rsidRPr="00405719">
        <w:rPr>
          <w:rFonts w:ascii="Cambria" w:hAnsi="Cambria"/>
          <w:bCs/>
          <w:i/>
          <w:sz w:val="14"/>
          <w:szCs w:val="18"/>
        </w:rPr>
        <w:t>Curr Opin Cell Biol</w:t>
      </w:r>
      <w:r w:rsidRPr="00405719">
        <w:rPr>
          <w:rFonts w:ascii="Cambria" w:hAnsi="Cambria"/>
          <w:bCs/>
          <w:sz w:val="14"/>
          <w:szCs w:val="18"/>
        </w:rPr>
        <w:t>, 10</w:t>
      </w:r>
      <w:r w:rsidRPr="00405719">
        <w:rPr>
          <w:rFonts w:ascii="Cambria" w:hAnsi="Cambria"/>
          <w:sz w:val="14"/>
          <w:szCs w:val="18"/>
        </w:rPr>
        <w:t xml:space="preserve">, 248-253.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Franz H, Ziska P, Kindt A (1981).</w:t>
      </w:r>
      <w:r w:rsidRPr="00405719">
        <w:rPr>
          <w:rFonts w:ascii="Cambria" w:hAnsi="Cambria"/>
          <w:sz w:val="14"/>
          <w:szCs w:val="18"/>
        </w:rPr>
        <w:t xml:space="preserve"> Isolation and properties of three lectins from mistletoe (</w:t>
      </w:r>
      <w:r w:rsidRPr="00405719">
        <w:rPr>
          <w:rFonts w:ascii="Cambria" w:hAnsi="Cambria"/>
          <w:i/>
          <w:iCs/>
          <w:sz w:val="14"/>
          <w:szCs w:val="18"/>
        </w:rPr>
        <w:t xml:space="preserve">Viscum album </w:t>
      </w:r>
      <w:r w:rsidRPr="00405719">
        <w:rPr>
          <w:rFonts w:ascii="Cambria" w:hAnsi="Cambria"/>
          <w:sz w:val="14"/>
          <w:szCs w:val="18"/>
        </w:rPr>
        <w:t xml:space="preserve">L.). </w:t>
      </w:r>
      <w:r w:rsidRPr="00405719">
        <w:rPr>
          <w:rFonts w:ascii="Cambria" w:hAnsi="Cambria"/>
          <w:i/>
          <w:iCs/>
          <w:sz w:val="14"/>
          <w:szCs w:val="18"/>
        </w:rPr>
        <w:t>Biochem J</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bCs/>
          <w:sz w:val="14"/>
          <w:szCs w:val="18"/>
        </w:rPr>
        <w:t xml:space="preserve">195, </w:t>
      </w:r>
      <w:r w:rsidRPr="00405719">
        <w:rPr>
          <w:rFonts w:ascii="Cambria" w:hAnsi="Cambria"/>
          <w:sz w:val="14"/>
          <w:szCs w:val="18"/>
        </w:rPr>
        <w:t xml:space="preserve">481-484. </w:t>
      </w:r>
    </w:p>
    <w:p w:rsidR="00467887" w:rsidRPr="00405719" w:rsidRDefault="00467887" w:rsidP="00467887">
      <w:pPr>
        <w:spacing w:before="60" w:after="60"/>
        <w:ind w:left="284" w:hanging="284"/>
        <w:jc w:val="both"/>
        <w:rPr>
          <w:rFonts w:ascii="Cambria" w:hAnsi="Cambria"/>
          <w:i/>
          <w:iCs/>
          <w:sz w:val="14"/>
          <w:szCs w:val="18"/>
        </w:rPr>
      </w:pPr>
      <w:r w:rsidRPr="00405719">
        <w:rPr>
          <w:rFonts w:ascii="Cambria" w:hAnsi="Cambria"/>
          <w:b/>
          <w:sz w:val="14"/>
          <w:szCs w:val="18"/>
        </w:rPr>
        <w:t>Hajto T, Hostanska K, Frei K, Rordorf C, Gabius H-J (1990).</w:t>
      </w:r>
      <w:r w:rsidRPr="00405719">
        <w:rPr>
          <w:rFonts w:ascii="Cambria" w:hAnsi="Cambria"/>
          <w:sz w:val="14"/>
          <w:szCs w:val="18"/>
        </w:rPr>
        <w:t xml:space="preserve"> Increased secretion of tumor necrosis factor α. interleukin I and interleukin 6 by human mononuclear cells exposed to β-galactoside-specific lectin from clinically applied mistletoe extract. </w:t>
      </w:r>
      <w:r w:rsidRPr="00405719">
        <w:rPr>
          <w:rFonts w:ascii="Cambria" w:hAnsi="Cambria"/>
          <w:i/>
          <w:iCs/>
          <w:sz w:val="14"/>
          <w:szCs w:val="18"/>
        </w:rPr>
        <w:t>Cancer Res</w:t>
      </w:r>
      <w:r w:rsidRPr="00405719">
        <w:rPr>
          <w:rFonts w:ascii="Cambria" w:hAnsi="Cambria"/>
          <w:iCs/>
          <w:sz w:val="14"/>
          <w:szCs w:val="18"/>
        </w:rPr>
        <w:t xml:space="preserve">, 50, 3322-3326.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bCs/>
          <w:sz w:val="14"/>
          <w:szCs w:val="18"/>
        </w:rPr>
        <w:t>Hajto T</w:t>
      </w:r>
      <w:r w:rsidRPr="00405719">
        <w:rPr>
          <w:rFonts w:ascii="Cambria" w:hAnsi="Cambria"/>
          <w:b/>
          <w:sz w:val="14"/>
          <w:szCs w:val="18"/>
        </w:rPr>
        <w:t>, Hostanska K, Fischer J, Saller R (1997).</w:t>
      </w:r>
      <w:r w:rsidRPr="00405719">
        <w:rPr>
          <w:rFonts w:ascii="Cambria" w:hAnsi="Cambria"/>
          <w:sz w:val="14"/>
          <w:szCs w:val="18"/>
        </w:rPr>
        <w:t xml:space="preserve"> Immunomodulatory effects of Viscum album agglutinin-I on natural immunity. </w:t>
      </w:r>
      <w:r w:rsidRPr="00405719">
        <w:rPr>
          <w:rFonts w:ascii="Cambria" w:hAnsi="Cambria"/>
          <w:bCs/>
          <w:i/>
          <w:sz w:val="14"/>
          <w:szCs w:val="18"/>
        </w:rPr>
        <w:t>Anticancer Drugs</w:t>
      </w:r>
      <w:r w:rsidRPr="00405719">
        <w:rPr>
          <w:rFonts w:ascii="Cambria" w:hAnsi="Cambria"/>
          <w:bCs/>
          <w:sz w:val="14"/>
          <w:szCs w:val="18"/>
        </w:rPr>
        <w:t>,</w:t>
      </w:r>
      <w:r w:rsidRPr="00405719">
        <w:rPr>
          <w:rFonts w:ascii="Cambria" w:hAnsi="Cambria"/>
          <w:sz w:val="14"/>
          <w:szCs w:val="18"/>
        </w:rPr>
        <w:t xml:space="preserve"> 8 (Suppl 1), 43-46. </w:t>
      </w:r>
    </w:p>
    <w:p w:rsidR="00467887" w:rsidRPr="00405719" w:rsidRDefault="00467887" w:rsidP="00467887">
      <w:pPr>
        <w:spacing w:before="60" w:after="60"/>
        <w:ind w:left="284" w:hanging="284"/>
        <w:jc w:val="both"/>
        <w:rPr>
          <w:rFonts w:ascii="Cambria" w:eastAsia="Times-Italic" w:hAnsi="Cambria"/>
          <w:iCs/>
          <w:sz w:val="14"/>
          <w:szCs w:val="18"/>
        </w:rPr>
      </w:pPr>
      <w:r w:rsidRPr="00405719">
        <w:rPr>
          <w:rFonts w:ascii="Cambria" w:hAnsi="Cambria"/>
          <w:b/>
          <w:bCs/>
          <w:sz w:val="14"/>
          <w:szCs w:val="18"/>
        </w:rPr>
        <w:t>Hajto T, Hostanska K, Berki T, Palinkas L, Boldizsar F, Nemeth P (2005).</w:t>
      </w:r>
      <w:r w:rsidRPr="00405719">
        <w:rPr>
          <w:rFonts w:ascii="Cambria" w:hAnsi="Cambria"/>
          <w:bCs/>
          <w:sz w:val="14"/>
          <w:szCs w:val="18"/>
        </w:rPr>
        <w:t xml:space="preserve"> Oncopharmacological perspectives of a plant lectin (</w:t>
      </w:r>
      <w:r w:rsidRPr="00405719">
        <w:rPr>
          <w:rFonts w:ascii="Cambria" w:hAnsi="Cambria"/>
          <w:bCs/>
          <w:i/>
          <w:iCs/>
          <w:sz w:val="14"/>
          <w:szCs w:val="18"/>
        </w:rPr>
        <w:t xml:space="preserve">Viscum album </w:t>
      </w:r>
      <w:r w:rsidRPr="00405719">
        <w:rPr>
          <w:rFonts w:ascii="Cambria" w:hAnsi="Cambria"/>
          <w:bCs/>
          <w:sz w:val="14"/>
          <w:szCs w:val="18"/>
        </w:rPr>
        <w:t xml:space="preserve">Agglutinin-I): overview of recent results from </w:t>
      </w:r>
      <w:r w:rsidRPr="00405719">
        <w:rPr>
          <w:rFonts w:ascii="Cambria" w:hAnsi="Cambria"/>
          <w:bCs/>
          <w:i/>
          <w:iCs/>
          <w:sz w:val="14"/>
          <w:szCs w:val="18"/>
        </w:rPr>
        <w:t xml:space="preserve">in vitro </w:t>
      </w:r>
      <w:r w:rsidRPr="00405719">
        <w:rPr>
          <w:rFonts w:ascii="Cambria" w:hAnsi="Cambria"/>
          <w:bCs/>
          <w:sz w:val="14"/>
          <w:szCs w:val="18"/>
        </w:rPr>
        <w:t xml:space="preserve">experiments and </w:t>
      </w:r>
      <w:r w:rsidRPr="00405719">
        <w:rPr>
          <w:rFonts w:ascii="Cambria" w:hAnsi="Cambria"/>
          <w:bCs/>
          <w:i/>
          <w:iCs/>
          <w:sz w:val="14"/>
          <w:szCs w:val="18"/>
        </w:rPr>
        <w:t xml:space="preserve">in vivo </w:t>
      </w:r>
      <w:r w:rsidRPr="00405719">
        <w:rPr>
          <w:rFonts w:ascii="Cambria" w:hAnsi="Cambria"/>
          <w:bCs/>
          <w:sz w:val="14"/>
          <w:szCs w:val="18"/>
        </w:rPr>
        <w:t xml:space="preserve">animal models, and their possible relevance for clinical applications. </w:t>
      </w:r>
      <w:r w:rsidRPr="00405719">
        <w:rPr>
          <w:rFonts w:ascii="Cambria" w:eastAsia="Times-Italic" w:hAnsi="Cambria"/>
          <w:i/>
          <w:iCs/>
          <w:sz w:val="14"/>
          <w:szCs w:val="18"/>
        </w:rPr>
        <w:t>eCAM</w:t>
      </w:r>
      <w:r w:rsidRPr="00405719">
        <w:rPr>
          <w:rFonts w:ascii="Cambria" w:eastAsia="Times-Italic" w:hAnsi="Cambria"/>
          <w:iCs/>
          <w:sz w:val="14"/>
          <w:szCs w:val="18"/>
        </w:rPr>
        <w:t xml:space="preserve">,  2, 59-67. </w:t>
      </w:r>
    </w:p>
    <w:p w:rsidR="00467887" w:rsidRPr="00405719" w:rsidRDefault="00467887" w:rsidP="00467887">
      <w:pPr>
        <w:spacing w:before="60" w:after="60"/>
        <w:ind w:left="284" w:hanging="284"/>
        <w:jc w:val="both"/>
        <w:rPr>
          <w:rFonts w:ascii="Cambria" w:hAnsi="Cambria"/>
          <w:sz w:val="14"/>
          <w:szCs w:val="18"/>
        </w:rPr>
      </w:pPr>
      <w:r w:rsidRPr="00405719">
        <w:rPr>
          <w:rFonts w:ascii="Cambria" w:eastAsia="Calibri" w:hAnsi="Cambria"/>
          <w:b/>
          <w:sz w:val="14"/>
          <w:szCs w:val="18"/>
          <w:lang w:eastAsia="en-US"/>
        </w:rPr>
        <w:t>Ignarro LJ (2010).</w:t>
      </w:r>
      <w:r w:rsidRPr="00405719">
        <w:rPr>
          <w:rFonts w:ascii="Cambria" w:eastAsia="Calibri" w:hAnsi="Cambria"/>
          <w:sz w:val="14"/>
          <w:szCs w:val="18"/>
          <w:lang w:eastAsia="en-US"/>
        </w:rPr>
        <w:t xml:space="preserve"> Nitric oxide, Biology and Pathobiology. 2</w:t>
      </w:r>
      <w:r w:rsidRPr="00405719">
        <w:rPr>
          <w:rFonts w:ascii="Cambria" w:eastAsia="Calibri" w:hAnsi="Cambria"/>
          <w:sz w:val="14"/>
          <w:szCs w:val="18"/>
          <w:vertAlign w:val="superscript"/>
          <w:lang w:eastAsia="en-US"/>
        </w:rPr>
        <w:t>nd</w:t>
      </w:r>
      <w:r w:rsidRPr="00405719">
        <w:rPr>
          <w:rFonts w:ascii="Cambria" w:eastAsia="Calibri" w:hAnsi="Cambria"/>
          <w:sz w:val="14"/>
          <w:szCs w:val="18"/>
          <w:lang w:eastAsia="en-US"/>
        </w:rPr>
        <w:t xml:space="preserve"> Ed. </w:t>
      </w:r>
      <w:r w:rsidRPr="00405719">
        <w:rPr>
          <w:rFonts w:ascii="Cambria" w:eastAsia="Calibri" w:hAnsi="Cambria"/>
          <w:i/>
          <w:sz w:val="14"/>
          <w:szCs w:val="18"/>
          <w:lang w:eastAsia="en-US"/>
        </w:rPr>
        <w:t xml:space="preserve">Academic Press </w:t>
      </w:r>
      <w:r w:rsidRPr="00405719">
        <w:rPr>
          <w:rFonts w:ascii="Cambria" w:hAnsi="Cambria"/>
          <w:i/>
          <w:sz w:val="14"/>
          <w:szCs w:val="18"/>
        </w:rPr>
        <w:t>Publications</w:t>
      </w:r>
      <w:r w:rsidRPr="00405719">
        <w:rPr>
          <w:rFonts w:ascii="Cambria" w:eastAsia="Calibri" w:hAnsi="Cambria"/>
          <w:sz w:val="14"/>
          <w:szCs w:val="18"/>
          <w:lang w:eastAsia="en-US"/>
        </w:rPr>
        <w:t xml:space="preserve">, USA.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Kang TB, Yoo YC, Lee KH, et al. (2008).</w:t>
      </w:r>
      <w:r w:rsidRPr="00405719">
        <w:rPr>
          <w:rFonts w:ascii="Cambria" w:hAnsi="Cambria"/>
          <w:sz w:val="14"/>
          <w:szCs w:val="18"/>
        </w:rPr>
        <w:t xml:space="preserve"> Korean mistletoe lectin (KML-IIU) and its subchains induce nitric oxide (NO) production in murine macrophage cells. </w:t>
      </w:r>
      <w:r w:rsidRPr="00405719">
        <w:rPr>
          <w:rFonts w:ascii="Cambria" w:hAnsi="Cambria"/>
          <w:i/>
          <w:sz w:val="14"/>
          <w:szCs w:val="18"/>
        </w:rPr>
        <w:t>J Biochem Mol Biol</w:t>
      </w:r>
      <w:r w:rsidRPr="00405719">
        <w:rPr>
          <w:rFonts w:ascii="Cambria" w:hAnsi="Cambria"/>
          <w:sz w:val="14"/>
          <w:szCs w:val="18"/>
        </w:rPr>
        <w:t>, 15, 197-204.</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Kim BK, Choi MJ, Park KY, Cho EJ (2010).</w:t>
      </w:r>
      <w:r w:rsidRPr="00405719">
        <w:rPr>
          <w:rFonts w:ascii="Cambria" w:hAnsi="Cambria"/>
          <w:sz w:val="14"/>
          <w:szCs w:val="18"/>
        </w:rPr>
        <w:t xml:space="preserve"> </w:t>
      </w:r>
      <w:r w:rsidRPr="00405719">
        <w:rPr>
          <w:rFonts w:ascii="Cambria" w:hAnsi="Cambria"/>
          <w:bCs/>
          <w:sz w:val="14"/>
          <w:szCs w:val="18"/>
        </w:rPr>
        <w:t xml:space="preserve">Protective effects of Korean mistletoe lectin on radical-induced oxidative stres. </w:t>
      </w:r>
      <w:r w:rsidRPr="00405719">
        <w:rPr>
          <w:rFonts w:ascii="Cambria" w:hAnsi="Cambria"/>
          <w:i/>
          <w:iCs/>
          <w:sz w:val="14"/>
          <w:szCs w:val="18"/>
        </w:rPr>
        <w:t>Biol Pharm Bull</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bCs/>
          <w:sz w:val="14"/>
          <w:szCs w:val="18"/>
        </w:rPr>
        <w:t>33</w:t>
      </w:r>
      <w:r w:rsidRPr="00405719">
        <w:rPr>
          <w:rFonts w:ascii="Cambria" w:hAnsi="Cambria"/>
          <w:sz w:val="14"/>
          <w:szCs w:val="18"/>
        </w:rPr>
        <w:t>(7), 1152-1158.</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Kim W-H, Park WB, Gao B, Jung MH (2004).</w:t>
      </w:r>
      <w:r w:rsidRPr="00405719">
        <w:rPr>
          <w:rFonts w:ascii="Cambria" w:hAnsi="Cambria"/>
          <w:sz w:val="14"/>
          <w:szCs w:val="18"/>
        </w:rPr>
        <w:t xml:space="preserve"> Critical role of reactive oxygen species and mitocondrial membrane potential in Korean mistletoe lectin-induced apoptosis in human hepatocarcinoma cells. </w:t>
      </w:r>
      <w:r w:rsidRPr="00405719">
        <w:rPr>
          <w:rFonts w:ascii="Cambria" w:hAnsi="Cambria"/>
          <w:i/>
          <w:sz w:val="14"/>
          <w:szCs w:val="18"/>
        </w:rPr>
        <w:t>Mol Pharmacol</w:t>
      </w:r>
      <w:r w:rsidRPr="00405719">
        <w:rPr>
          <w:rFonts w:ascii="Cambria" w:hAnsi="Cambria"/>
          <w:sz w:val="14"/>
          <w:szCs w:val="18"/>
        </w:rPr>
        <w:t xml:space="preserve">, 66, 1383-1396. </w:t>
      </w:r>
    </w:p>
    <w:p w:rsidR="00467887" w:rsidRPr="00405719" w:rsidRDefault="00467887" w:rsidP="00467887">
      <w:pPr>
        <w:spacing w:before="60" w:after="60"/>
        <w:ind w:left="284" w:hanging="284"/>
        <w:jc w:val="both"/>
        <w:rPr>
          <w:rFonts w:ascii="Cambria" w:eastAsia="Calibri" w:hAnsi="Cambria"/>
          <w:color w:val="231F20"/>
          <w:sz w:val="14"/>
          <w:szCs w:val="18"/>
        </w:rPr>
      </w:pPr>
      <w:r w:rsidRPr="00405719">
        <w:rPr>
          <w:rFonts w:ascii="Cambria" w:hAnsi="Cambria"/>
          <w:b/>
          <w:color w:val="000000"/>
          <w:sz w:val="14"/>
          <w:szCs w:val="18"/>
        </w:rPr>
        <w:t>Kurokawa H, Takeda S, Yamashita Y, et al. (2002).</w:t>
      </w:r>
      <w:r w:rsidRPr="00405719">
        <w:rPr>
          <w:rFonts w:ascii="Cambria" w:hAnsi="Cambria"/>
          <w:color w:val="000000"/>
          <w:sz w:val="14"/>
          <w:szCs w:val="18"/>
        </w:rPr>
        <w:t xml:space="preserve"> Estimation of Serum tumour necrosis factor-α and correlation to tumour markers in patients with oral squamous cell carcinoma. </w:t>
      </w:r>
      <w:r w:rsidRPr="00405719">
        <w:rPr>
          <w:rFonts w:ascii="Cambria" w:eastAsia="Calibri" w:hAnsi="Cambria"/>
          <w:color w:val="231F20"/>
          <w:sz w:val="14"/>
          <w:szCs w:val="18"/>
        </w:rPr>
        <w:t xml:space="preserve">Asian </w:t>
      </w:r>
      <w:r w:rsidRPr="00405719">
        <w:rPr>
          <w:rFonts w:ascii="Cambria" w:eastAsia="Calibri" w:hAnsi="Cambria"/>
          <w:i/>
          <w:color w:val="231F20"/>
          <w:sz w:val="14"/>
          <w:szCs w:val="18"/>
        </w:rPr>
        <w:t>J Oral Maxillofac Surg</w:t>
      </w:r>
      <w:r w:rsidRPr="00405719">
        <w:rPr>
          <w:rFonts w:ascii="Cambria" w:eastAsia="Calibri" w:hAnsi="Cambria"/>
          <w:color w:val="231F20"/>
          <w:sz w:val="14"/>
          <w:szCs w:val="18"/>
        </w:rPr>
        <w:t xml:space="preserve">, 14, 148-154. </w:t>
      </w:r>
    </w:p>
    <w:p w:rsidR="00467887" w:rsidRPr="00405719" w:rsidRDefault="00467887" w:rsidP="00467887">
      <w:pPr>
        <w:spacing w:before="60" w:after="60"/>
        <w:ind w:left="284" w:hanging="284"/>
        <w:jc w:val="both"/>
        <w:rPr>
          <w:rFonts w:ascii="Cambria" w:eastAsia="Arial Unicode MS" w:hAnsi="Cambria"/>
          <w:sz w:val="14"/>
          <w:szCs w:val="18"/>
        </w:rPr>
      </w:pPr>
      <w:r w:rsidRPr="00405719">
        <w:rPr>
          <w:rFonts w:ascii="Cambria" w:eastAsia="Arial Unicode MS" w:hAnsi="Cambria"/>
          <w:b/>
          <w:sz w:val="14"/>
          <w:szCs w:val="18"/>
        </w:rPr>
        <w:t>Lee JY, Kim JY, Lee YG, et al. (2007).</w:t>
      </w:r>
      <w:r w:rsidRPr="00405719">
        <w:rPr>
          <w:rFonts w:ascii="Cambria" w:eastAsia="Arial Unicode MS" w:hAnsi="Cambria"/>
          <w:sz w:val="14"/>
          <w:szCs w:val="18"/>
        </w:rPr>
        <w:t xml:space="preserve"> </w:t>
      </w:r>
      <w:r w:rsidRPr="00405719">
        <w:rPr>
          <w:rFonts w:ascii="Cambria" w:eastAsia="Arial Unicode MS" w:hAnsi="Cambria"/>
          <w:i/>
          <w:sz w:val="14"/>
          <w:szCs w:val="18"/>
        </w:rPr>
        <w:t>In vitro</w:t>
      </w:r>
      <w:r w:rsidRPr="00405719">
        <w:rPr>
          <w:rFonts w:ascii="Cambria" w:eastAsia="Arial Unicode MS" w:hAnsi="Cambria"/>
          <w:sz w:val="14"/>
          <w:szCs w:val="18"/>
        </w:rPr>
        <w:t xml:space="preserve"> immunoregulatory effects of Korean mistletoe lectin on functional activation of monocytic and macrophage-like cells. </w:t>
      </w:r>
      <w:r w:rsidRPr="00405719">
        <w:rPr>
          <w:rFonts w:ascii="Cambria" w:eastAsia="Arial Unicode MS" w:hAnsi="Cambria"/>
          <w:i/>
          <w:sz w:val="14"/>
          <w:szCs w:val="18"/>
        </w:rPr>
        <w:t>Biol Pharm Bull</w:t>
      </w:r>
      <w:r w:rsidRPr="00405719">
        <w:rPr>
          <w:rFonts w:ascii="Cambria" w:eastAsia="Arial Unicode MS" w:hAnsi="Cambria"/>
          <w:sz w:val="14"/>
          <w:szCs w:val="18"/>
        </w:rPr>
        <w:t xml:space="preserve">, 30, 2043-2051. </w:t>
      </w:r>
    </w:p>
    <w:p w:rsidR="00467887" w:rsidRPr="00405719" w:rsidRDefault="00467887" w:rsidP="00467887">
      <w:pPr>
        <w:spacing w:before="60" w:after="60"/>
        <w:ind w:left="284" w:hanging="284"/>
        <w:jc w:val="both"/>
        <w:rPr>
          <w:rFonts w:ascii="Cambria" w:hAnsi="Cambria"/>
          <w:sz w:val="14"/>
          <w:szCs w:val="18"/>
        </w:rPr>
      </w:pPr>
      <w:r w:rsidRPr="00405719">
        <w:rPr>
          <w:rFonts w:ascii="Cambria" w:eastAsia="Arial Unicode MS" w:hAnsi="Cambria"/>
          <w:b/>
          <w:sz w:val="14"/>
          <w:szCs w:val="18"/>
        </w:rPr>
        <w:t xml:space="preserve">Leu Y-L, Hwang T-L, </w:t>
      </w:r>
      <w:r w:rsidRPr="00405719">
        <w:rPr>
          <w:rFonts w:ascii="Cambria" w:hAnsi="Cambria"/>
          <w:b/>
          <w:sz w:val="14"/>
          <w:szCs w:val="18"/>
        </w:rPr>
        <w:t>Chung YM, Hong PY (2006).</w:t>
      </w:r>
      <w:r w:rsidRPr="00405719">
        <w:rPr>
          <w:rFonts w:ascii="Cambria" w:eastAsia="Arial Unicode MS" w:hAnsi="Cambria"/>
          <w:sz w:val="14"/>
          <w:szCs w:val="18"/>
        </w:rPr>
        <w:t xml:space="preserve"> </w:t>
      </w:r>
      <w:r w:rsidRPr="00405719">
        <w:rPr>
          <w:rFonts w:ascii="Cambria" w:hAnsi="Cambria"/>
          <w:bCs/>
          <w:sz w:val="14"/>
          <w:szCs w:val="18"/>
        </w:rPr>
        <w:t xml:space="preserve">The Inhibition of superoxide anion generation in human neutrophils by </w:t>
      </w:r>
      <w:r w:rsidRPr="00405719">
        <w:rPr>
          <w:rFonts w:ascii="Cambria" w:hAnsi="Cambria"/>
          <w:bCs/>
          <w:i/>
          <w:iCs/>
          <w:sz w:val="14"/>
          <w:szCs w:val="18"/>
        </w:rPr>
        <w:t>Viscum coloratum</w:t>
      </w:r>
      <w:r w:rsidRPr="00405719">
        <w:rPr>
          <w:rFonts w:ascii="Cambria" w:hAnsi="Cambria"/>
          <w:bCs/>
          <w:iCs/>
          <w:sz w:val="14"/>
          <w:szCs w:val="18"/>
        </w:rPr>
        <w:t xml:space="preserve">. </w:t>
      </w:r>
      <w:r w:rsidRPr="00405719">
        <w:rPr>
          <w:rFonts w:ascii="Cambria" w:hAnsi="Cambria"/>
          <w:i/>
          <w:iCs/>
          <w:sz w:val="14"/>
          <w:szCs w:val="18"/>
        </w:rPr>
        <w:t>Chem Pharmacol Bull</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bCs/>
          <w:sz w:val="14"/>
          <w:szCs w:val="18"/>
        </w:rPr>
        <w:t>54</w:t>
      </w:r>
      <w:r w:rsidRPr="00405719">
        <w:rPr>
          <w:rFonts w:ascii="Cambria" w:hAnsi="Cambria"/>
          <w:sz w:val="14"/>
          <w:szCs w:val="18"/>
        </w:rPr>
        <w:t xml:space="preserve">(7), 1063-1066.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bCs/>
          <w:sz w:val="14"/>
          <w:szCs w:val="18"/>
        </w:rPr>
        <w:t>Lyu SY</w:t>
      </w:r>
      <w:r w:rsidRPr="00405719">
        <w:rPr>
          <w:rFonts w:ascii="Cambria" w:hAnsi="Cambria"/>
          <w:b/>
          <w:sz w:val="14"/>
          <w:szCs w:val="18"/>
        </w:rPr>
        <w:t xml:space="preserve">, </w:t>
      </w:r>
      <w:r w:rsidRPr="00405719">
        <w:rPr>
          <w:rFonts w:ascii="Cambria" w:hAnsi="Cambria"/>
          <w:b/>
          <w:bCs/>
          <w:sz w:val="14"/>
          <w:szCs w:val="18"/>
        </w:rPr>
        <w:t>Choi SH</w:t>
      </w:r>
      <w:r w:rsidRPr="00405719">
        <w:rPr>
          <w:rFonts w:ascii="Cambria" w:hAnsi="Cambria"/>
          <w:b/>
          <w:sz w:val="14"/>
          <w:szCs w:val="18"/>
        </w:rPr>
        <w:t xml:space="preserve">, </w:t>
      </w:r>
      <w:r w:rsidRPr="00405719">
        <w:rPr>
          <w:rFonts w:ascii="Cambria" w:hAnsi="Cambria"/>
          <w:b/>
          <w:bCs/>
          <w:sz w:val="14"/>
          <w:szCs w:val="18"/>
        </w:rPr>
        <w:t>Park WB</w:t>
      </w:r>
      <w:r w:rsidRPr="00405719">
        <w:rPr>
          <w:rFonts w:ascii="Cambria" w:hAnsi="Cambria"/>
          <w:b/>
          <w:sz w:val="14"/>
          <w:szCs w:val="18"/>
        </w:rPr>
        <w:t xml:space="preserve"> (2002).</w:t>
      </w:r>
      <w:r w:rsidRPr="00405719">
        <w:rPr>
          <w:rFonts w:ascii="Cambria" w:hAnsi="Cambria"/>
          <w:sz w:val="14"/>
          <w:szCs w:val="18"/>
        </w:rPr>
        <w:t xml:space="preserve"> Korean mistletoe lectin-induced apoptosis in hepatocarcinoma cells is associated with inhibition of telomerase via mitochondrial controlled pathway independent of p53. </w:t>
      </w:r>
      <w:r w:rsidRPr="00405719">
        <w:rPr>
          <w:rFonts w:ascii="Cambria" w:hAnsi="Cambria"/>
          <w:bCs/>
          <w:i/>
          <w:sz w:val="14"/>
          <w:szCs w:val="18"/>
        </w:rPr>
        <w:t>Arch Pharm Res</w:t>
      </w:r>
      <w:r w:rsidRPr="00405719">
        <w:rPr>
          <w:rFonts w:ascii="Cambria" w:hAnsi="Cambria"/>
          <w:bCs/>
          <w:sz w:val="14"/>
          <w:szCs w:val="18"/>
        </w:rPr>
        <w:t>,</w:t>
      </w:r>
      <w:r w:rsidRPr="00405719">
        <w:rPr>
          <w:rFonts w:ascii="Cambria" w:hAnsi="Cambria"/>
          <w:sz w:val="14"/>
          <w:szCs w:val="18"/>
        </w:rPr>
        <w:t xml:space="preserve"> 25, 93-101.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Mannel DN, Becker H, Gundt A, Kist A, Franz H (1991).</w:t>
      </w:r>
      <w:r w:rsidRPr="00405719">
        <w:rPr>
          <w:rFonts w:ascii="Cambria" w:hAnsi="Cambria"/>
          <w:sz w:val="14"/>
          <w:szCs w:val="18"/>
        </w:rPr>
        <w:t xml:space="preserve"> Induction of tumor necrosis factor expression by a lectin from </w:t>
      </w:r>
      <w:r w:rsidRPr="00405719">
        <w:rPr>
          <w:rFonts w:ascii="Cambria" w:hAnsi="Cambria"/>
          <w:i/>
          <w:iCs/>
          <w:sz w:val="14"/>
          <w:szCs w:val="18"/>
        </w:rPr>
        <w:t>Viscum album</w:t>
      </w:r>
      <w:r w:rsidRPr="00405719">
        <w:rPr>
          <w:rFonts w:ascii="Cambria" w:hAnsi="Cambria"/>
          <w:sz w:val="14"/>
          <w:szCs w:val="18"/>
        </w:rPr>
        <w:t xml:space="preserve">. </w:t>
      </w:r>
      <w:r w:rsidRPr="00405719">
        <w:rPr>
          <w:rFonts w:ascii="Cambria" w:hAnsi="Cambria"/>
          <w:i/>
          <w:sz w:val="14"/>
          <w:szCs w:val="18"/>
        </w:rPr>
        <w:t>Cancer Immunol Immunotherapy</w:t>
      </w:r>
      <w:r w:rsidRPr="00405719">
        <w:rPr>
          <w:rFonts w:ascii="Cambria" w:hAnsi="Cambria"/>
          <w:sz w:val="14"/>
          <w:szCs w:val="18"/>
        </w:rPr>
        <w:t>, 33, 177-182.</w:t>
      </w:r>
    </w:p>
    <w:p w:rsidR="00467887" w:rsidRPr="00405719" w:rsidRDefault="00467887" w:rsidP="00467887">
      <w:pPr>
        <w:spacing w:before="60" w:after="60"/>
        <w:ind w:left="284" w:hanging="284"/>
        <w:jc w:val="both"/>
        <w:rPr>
          <w:rFonts w:ascii="Cambria" w:eastAsia="TimesNewRomanPSMT" w:hAnsi="Cambria"/>
          <w:sz w:val="14"/>
          <w:szCs w:val="18"/>
        </w:rPr>
      </w:pPr>
      <w:r w:rsidRPr="00405719">
        <w:rPr>
          <w:rFonts w:ascii="Cambria" w:eastAsia="TimesNewRomanPSMT" w:hAnsi="Cambria"/>
          <w:b/>
          <w:sz w:val="14"/>
          <w:szCs w:val="18"/>
        </w:rPr>
        <w:t>Miranda KM, Espey MG, Wink DA (2001).</w:t>
      </w:r>
      <w:r w:rsidRPr="00405719">
        <w:rPr>
          <w:rFonts w:ascii="Cambria" w:eastAsia="TimesNewRomanPSMT" w:hAnsi="Cambria"/>
          <w:sz w:val="14"/>
          <w:szCs w:val="18"/>
        </w:rPr>
        <w:t xml:space="preserve"> A rapid, simple spectrophotometric method for simultaneous detection of nitrate and nitrite. </w:t>
      </w:r>
      <w:r w:rsidRPr="00405719">
        <w:rPr>
          <w:rFonts w:ascii="Cambria" w:eastAsia="TimesNewRomanPSMT" w:hAnsi="Cambria"/>
          <w:i/>
          <w:sz w:val="14"/>
          <w:szCs w:val="18"/>
        </w:rPr>
        <w:t>Nitric Oxide Biol Chem</w:t>
      </w:r>
      <w:r w:rsidRPr="00405719">
        <w:rPr>
          <w:rFonts w:ascii="Cambria" w:eastAsia="TimesNewRomanPSMT" w:hAnsi="Cambria"/>
          <w:sz w:val="14"/>
          <w:szCs w:val="18"/>
        </w:rPr>
        <w:t xml:space="preserve">, 5, 62-71.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Nwanjo HU (2007).</w:t>
      </w:r>
      <w:r w:rsidRPr="00405719">
        <w:rPr>
          <w:rFonts w:ascii="Cambria" w:hAnsi="Cambria"/>
          <w:sz w:val="14"/>
          <w:szCs w:val="18"/>
        </w:rPr>
        <w:t xml:space="preserve"> Free radical scavenging potential of the aqueous extract of </w:t>
      </w:r>
      <w:r w:rsidRPr="00405719">
        <w:rPr>
          <w:rFonts w:ascii="Cambria" w:hAnsi="Cambria"/>
          <w:i/>
          <w:sz w:val="14"/>
          <w:szCs w:val="18"/>
        </w:rPr>
        <w:t>Viscum album</w:t>
      </w:r>
      <w:r w:rsidRPr="00405719">
        <w:rPr>
          <w:rFonts w:ascii="Cambria" w:hAnsi="Cambria"/>
          <w:sz w:val="14"/>
          <w:szCs w:val="18"/>
        </w:rPr>
        <w:t xml:space="preserve"> (Mistletoe) leaves in diabetic Wistar rats hepatocytes. </w:t>
      </w:r>
      <w:r w:rsidRPr="00405719">
        <w:rPr>
          <w:rFonts w:ascii="Cambria" w:hAnsi="Cambria"/>
          <w:i/>
          <w:sz w:val="14"/>
          <w:szCs w:val="18"/>
        </w:rPr>
        <w:t>Internet J Nutr Wellness</w:t>
      </w:r>
      <w:r w:rsidRPr="00405719">
        <w:rPr>
          <w:rFonts w:ascii="Cambria" w:hAnsi="Cambria"/>
          <w:sz w:val="14"/>
          <w:szCs w:val="18"/>
        </w:rPr>
        <w:t xml:space="preserve">, 3(2), 1-8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Odeh M (1990).</w:t>
      </w:r>
      <w:r w:rsidRPr="00405719">
        <w:rPr>
          <w:rFonts w:ascii="Cambria" w:hAnsi="Cambria"/>
          <w:sz w:val="14"/>
          <w:szCs w:val="18"/>
        </w:rPr>
        <w:t xml:space="preserve"> The role of tumour necrosis factor-α in acquired immunodeficiency syndrome. </w:t>
      </w:r>
      <w:r w:rsidRPr="00405719">
        <w:rPr>
          <w:rFonts w:ascii="Cambria" w:hAnsi="Cambria"/>
          <w:i/>
          <w:sz w:val="14"/>
          <w:szCs w:val="18"/>
        </w:rPr>
        <w:t>J Int Med</w:t>
      </w:r>
      <w:r w:rsidRPr="00405719">
        <w:rPr>
          <w:rFonts w:ascii="Cambria" w:hAnsi="Cambria"/>
          <w:sz w:val="14"/>
          <w:szCs w:val="18"/>
        </w:rPr>
        <w:t xml:space="preserve">, 228, 549-556.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Oluwaseun AA, Ganiyu O (2008).</w:t>
      </w:r>
      <w:r w:rsidRPr="00405719">
        <w:rPr>
          <w:rFonts w:ascii="Cambria" w:hAnsi="Cambria"/>
          <w:sz w:val="14"/>
          <w:szCs w:val="18"/>
        </w:rPr>
        <w:t xml:space="preserve"> Antioxidant properties of methanolic extracts of mistletoes (</w:t>
      </w:r>
      <w:r w:rsidRPr="00405719">
        <w:rPr>
          <w:rFonts w:ascii="Cambria" w:hAnsi="Cambria"/>
          <w:i/>
          <w:sz w:val="14"/>
          <w:szCs w:val="18"/>
        </w:rPr>
        <w:t>Viscum album</w:t>
      </w:r>
      <w:r w:rsidRPr="00405719">
        <w:rPr>
          <w:rFonts w:ascii="Cambria" w:hAnsi="Cambria"/>
          <w:sz w:val="14"/>
          <w:szCs w:val="18"/>
        </w:rPr>
        <w:t xml:space="preserve">) from cocoa and cashew trees in Nigeria. </w:t>
      </w:r>
      <w:r w:rsidRPr="00405719">
        <w:rPr>
          <w:rFonts w:ascii="Cambria" w:hAnsi="Cambria"/>
          <w:i/>
          <w:sz w:val="14"/>
          <w:szCs w:val="18"/>
        </w:rPr>
        <w:t>African J Biotecnol</w:t>
      </w:r>
      <w:r w:rsidRPr="00405719">
        <w:rPr>
          <w:rFonts w:ascii="Cambria" w:hAnsi="Cambria"/>
          <w:sz w:val="14"/>
          <w:szCs w:val="18"/>
        </w:rPr>
        <w:t xml:space="preserve">, 7, 3138-3142.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Orhan DD, Aslan M, Şendoğdu N, Ergun F, Yeşilada E (2005).</w:t>
      </w:r>
      <w:r w:rsidRPr="00405719">
        <w:rPr>
          <w:rFonts w:ascii="Cambria" w:hAnsi="Cambria"/>
          <w:sz w:val="14"/>
          <w:szCs w:val="18"/>
        </w:rPr>
        <w:t xml:space="preserve"> Evaluation of hypoglycemic effect and antioxidant activity of three </w:t>
      </w:r>
      <w:r w:rsidRPr="00405719">
        <w:rPr>
          <w:rFonts w:ascii="Cambria" w:hAnsi="Cambria"/>
          <w:i/>
          <w:sz w:val="14"/>
          <w:szCs w:val="18"/>
        </w:rPr>
        <w:t>Viscum album</w:t>
      </w:r>
      <w:r w:rsidRPr="00405719">
        <w:rPr>
          <w:rFonts w:ascii="Cambria" w:hAnsi="Cambria"/>
          <w:sz w:val="14"/>
          <w:szCs w:val="18"/>
        </w:rPr>
        <w:t xml:space="preserve"> supspecies (European mistletoe) in streptozotocin-diabetic rats. </w:t>
      </w:r>
      <w:r w:rsidRPr="00405719">
        <w:rPr>
          <w:rFonts w:ascii="Cambria" w:hAnsi="Cambria"/>
          <w:i/>
          <w:sz w:val="14"/>
          <w:szCs w:val="18"/>
        </w:rPr>
        <w:t>J Ethnopharm</w:t>
      </w:r>
      <w:r w:rsidRPr="00405719">
        <w:rPr>
          <w:rFonts w:ascii="Cambria" w:hAnsi="Cambria"/>
          <w:sz w:val="14"/>
          <w:szCs w:val="18"/>
        </w:rPr>
        <w:t xml:space="preserve"> 98, 95-102. </w:t>
      </w:r>
    </w:p>
    <w:p w:rsidR="00467887" w:rsidRPr="00405719" w:rsidRDefault="00467887" w:rsidP="00467887">
      <w:pPr>
        <w:spacing w:before="60" w:after="60"/>
        <w:ind w:left="284" w:hanging="284"/>
        <w:jc w:val="both"/>
        <w:rPr>
          <w:rFonts w:ascii="Cambria" w:hAnsi="Cambria"/>
          <w:color w:val="231F20"/>
          <w:sz w:val="14"/>
          <w:szCs w:val="18"/>
        </w:rPr>
      </w:pPr>
      <w:r w:rsidRPr="00405719">
        <w:rPr>
          <w:rFonts w:ascii="Cambria" w:hAnsi="Cambria"/>
          <w:b/>
          <w:bCs/>
          <w:color w:val="231F20"/>
          <w:sz w:val="14"/>
          <w:szCs w:val="18"/>
        </w:rPr>
        <w:t>Papuc C, Crivineanu M, Goran G, Nicorescu V, Durdun N (2010).</w:t>
      </w:r>
      <w:r w:rsidRPr="00405719">
        <w:rPr>
          <w:rFonts w:ascii="Cambria" w:hAnsi="Cambria"/>
          <w:bCs/>
          <w:color w:val="231F20"/>
          <w:sz w:val="14"/>
          <w:szCs w:val="18"/>
        </w:rPr>
        <w:t xml:space="preserve"> </w:t>
      </w:r>
      <w:r w:rsidRPr="00405719">
        <w:rPr>
          <w:rFonts w:ascii="Cambria" w:hAnsi="Cambria"/>
          <w:bCs/>
          <w:sz w:val="14"/>
          <w:szCs w:val="18"/>
        </w:rPr>
        <w:t>Free radicals scavenging and antioxidant activity of European mistletoe (</w:t>
      </w:r>
      <w:r w:rsidRPr="00405719">
        <w:rPr>
          <w:rFonts w:ascii="Cambria" w:hAnsi="Cambria"/>
          <w:bCs/>
          <w:i/>
          <w:iCs/>
          <w:sz w:val="14"/>
          <w:szCs w:val="18"/>
        </w:rPr>
        <w:t>Viscum album</w:t>
      </w:r>
      <w:r w:rsidRPr="00405719">
        <w:rPr>
          <w:rFonts w:ascii="Cambria" w:hAnsi="Cambria"/>
          <w:bCs/>
          <w:sz w:val="14"/>
          <w:szCs w:val="18"/>
        </w:rPr>
        <w:t>) and European birthwort (</w:t>
      </w:r>
      <w:r w:rsidRPr="00405719">
        <w:rPr>
          <w:rFonts w:ascii="Cambria" w:hAnsi="Cambria"/>
          <w:bCs/>
          <w:i/>
          <w:iCs/>
          <w:sz w:val="14"/>
          <w:szCs w:val="18"/>
        </w:rPr>
        <w:t>Aristolochia clematitis</w:t>
      </w:r>
      <w:r w:rsidRPr="00405719">
        <w:rPr>
          <w:rFonts w:ascii="Cambria" w:hAnsi="Cambria"/>
          <w:bCs/>
          <w:sz w:val="14"/>
          <w:szCs w:val="18"/>
        </w:rPr>
        <w:t xml:space="preserve">). </w:t>
      </w:r>
      <w:r w:rsidRPr="00405719">
        <w:rPr>
          <w:rFonts w:ascii="Cambria" w:hAnsi="Cambria"/>
          <w:i/>
          <w:color w:val="231F20"/>
          <w:sz w:val="14"/>
          <w:szCs w:val="18"/>
        </w:rPr>
        <w:t>Rev Chim</w:t>
      </w:r>
      <w:r w:rsidRPr="00405719">
        <w:rPr>
          <w:rFonts w:ascii="Cambria" w:hAnsi="Cambria"/>
          <w:color w:val="231F20"/>
          <w:sz w:val="14"/>
          <w:szCs w:val="18"/>
        </w:rPr>
        <w:t>,</w:t>
      </w:r>
      <w:r w:rsidRPr="00405719">
        <w:rPr>
          <w:rFonts w:ascii="Cambria" w:hAnsi="Cambria"/>
          <w:sz w:val="14"/>
          <w:szCs w:val="18"/>
        </w:rPr>
        <w:t xml:space="preserve"> </w:t>
      </w:r>
      <w:r w:rsidRPr="00405719">
        <w:rPr>
          <w:rFonts w:ascii="Cambria" w:hAnsi="Cambria"/>
          <w:color w:val="231F20"/>
          <w:sz w:val="14"/>
          <w:szCs w:val="18"/>
        </w:rPr>
        <w:t>61</w:t>
      </w:r>
      <w:r w:rsidRPr="00405719">
        <w:rPr>
          <w:rFonts w:ascii="Cambria" w:hAnsi="Cambria"/>
          <w:color w:val="000000"/>
          <w:sz w:val="14"/>
          <w:szCs w:val="18"/>
        </w:rPr>
        <w:t xml:space="preserve">, 619-622.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 xml:space="preserve">Park JH, Hyun, CK, Shin HK (1999). </w:t>
      </w:r>
      <w:r w:rsidRPr="00405719">
        <w:rPr>
          <w:rFonts w:ascii="Cambria" w:hAnsi="Cambria"/>
          <w:sz w:val="14"/>
          <w:szCs w:val="18"/>
        </w:rPr>
        <w:t xml:space="preserve">Cytotoxic effects of the components in heat-treated mistletoe. </w:t>
      </w:r>
      <w:r w:rsidRPr="00405719">
        <w:rPr>
          <w:rFonts w:ascii="Cambria" w:hAnsi="Cambria"/>
          <w:i/>
          <w:sz w:val="14"/>
          <w:szCs w:val="18"/>
        </w:rPr>
        <w:t>Cancer Lett</w:t>
      </w:r>
      <w:r w:rsidRPr="00405719">
        <w:rPr>
          <w:rFonts w:ascii="Cambria" w:hAnsi="Cambria"/>
          <w:sz w:val="14"/>
          <w:szCs w:val="18"/>
        </w:rPr>
        <w:t xml:space="preserve">, 139, 207-213.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Ribereau-Gayon G, Dumont S, Muller C, Jung ML, Poindron P, Anton R (1996).</w:t>
      </w:r>
      <w:r w:rsidRPr="00405719">
        <w:rPr>
          <w:rFonts w:ascii="Cambria" w:hAnsi="Cambria"/>
          <w:sz w:val="14"/>
          <w:szCs w:val="18"/>
        </w:rPr>
        <w:t xml:space="preserve"> Mistletoe lectins I, II and III induce the production of cytokines by cultured human monocytes. </w:t>
      </w:r>
      <w:r w:rsidRPr="00405719">
        <w:rPr>
          <w:rFonts w:ascii="Cambria" w:hAnsi="Cambria"/>
          <w:i/>
          <w:sz w:val="14"/>
          <w:szCs w:val="18"/>
        </w:rPr>
        <w:t>Cancer Lett</w:t>
      </w:r>
      <w:r w:rsidRPr="00405719">
        <w:rPr>
          <w:rFonts w:ascii="Cambria" w:hAnsi="Cambria"/>
          <w:sz w:val="14"/>
          <w:szCs w:val="18"/>
        </w:rPr>
        <w:t xml:space="preserve">, 109, 33-38.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lastRenderedPageBreak/>
        <w:t>Roman GP, Neagu E, Radu GL (2009).</w:t>
      </w:r>
      <w:r w:rsidRPr="00405719">
        <w:rPr>
          <w:rFonts w:ascii="Cambria" w:hAnsi="Cambria"/>
          <w:sz w:val="14"/>
          <w:szCs w:val="18"/>
        </w:rPr>
        <w:t xml:space="preserve"> Antiradical activities of </w:t>
      </w:r>
      <w:r w:rsidRPr="00405719">
        <w:rPr>
          <w:rFonts w:ascii="Cambria" w:hAnsi="Cambria"/>
          <w:i/>
          <w:sz w:val="14"/>
          <w:szCs w:val="18"/>
        </w:rPr>
        <w:t xml:space="preserve">Salvia officinalis </w:t>
      </w:r>
      <w:r w:rsidRPr="00405719">
        <w:rPr>
          <w:rFonts w:ascii="Cambria" w:hAnsi="Cambria"/>
          <w:sz w:val="14"/>
          <w:szCs w:val="18"/>
        </w:rPr>
        <w:t xml:space="preserve">and </w:t>
      </w:r>
      <w:r w:rsidRPr="00405719">
        <w:rPr>
          <w:rFonts w:ascii="Cambria" w:hAnsi="Cambria"/>
          <w:i/>
          <w:sz w:val="14"/>
          <w:szCs w:val="18"/>
        </w:rPr>
        <w:t>Viscum album L.</w:t>
      </w:r>
      <w:r w:rsidRPr="00405719">
        <w:rPr>
          <w:rFonts w:ascii="Cambria" w:hAnsi="Cambria"/>
          <w:sz w:val="14"/>
          <w:szCs w:val="18"/>
        </w:rPr>
        <w:t xml:space="preserve"> extracts concentrated by ultrafiltration process. </w:t>
      </w:r>
      <w:r w:rsidRPr="00405719">
        <w:rPr>
          <w:rFonts w:ascii="Cambria" w:hAnsi="Cambria"/>
          <w:i/>
          <w:sz w:val="14"/>
          <w:szCs w:val="18"/>
        </w:rPr>
        <w:t>Acta Sci Pol Technol Aliment</w:t>
      </w:r>
      <w:r w:rsidRPr="00405719">
        <w:rPr>
          <w:rFonts w:ascii="Cambria" w:hAnsi="Cambria"/>
          <w:sz w:val="14"/>
          <w:szCs w:val="18"/>
        </w:rPr>
        <w:t xml:space="preserve">, 8, 47-58.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Sandes EO, Faletti AG, Riveros MD, et al. (2005).</w:t>
      </w:r>
      <w:r w:rsidRPr="00405719">
        <w:rPr>
          <w:rFonts w:ascii="Cambria" w:hAnsi="Cambria"/>
          <w:sz w:val="14"/>
          <w:szCs w:val="18"/>
        </w:rPr>
        <w:t xml:space="preserve"> Expression of inducible nitric oxide synthase in tumoral and non-tumoral epithelia from bladder cancer patients. </w:t>
      </w:r>
      <w:r w:rsidRPr="00405719">
        <w:rPr>
          <w:rFonts w:ascii="Cambria" w:hAnsi="Cambria"/>
          <w:i/>
          <w:sz w:val="14"/>
          <w:szCs w:val="18"/>
        </w:rPr>
        <w:t>Nitric Oxide</w:t>
      </w:r>
      <w:r w:rsidRPr="00405719">
        <w:rPr>
          <w:rFonts w:ascii="Cambria" w:hAnsi="Cambria"/>
          <w:sz w:val="14"/>
          <w:szCs w:val="18"/>
        </w:rPr>
        <w:t xml:space="preserve">, 12, 39-45.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Shi Z-M, Feng P, Jiang DQ, Wang XJ (2006).</w:t>
      </w:r>
      <w:r w:rsidRPr="00405719">
        <w:rPr>
          <w:rFonts w:ascii="Cambria" w:hAnsi="Cambria"/>
          <w:sz w:val="14"/>
          <w:szCs w:val="18"/>
        </w:rPr>
        <w:t xml:space="preserve"> </w:t>
      </w:r>
      <w:r w:rsidRPr="00405719">
        <w:rPr>
          <w:rFonts w:ascii="Cambria" w:hAnsi="Cambria"/>
          <w:bCs/>
          <w:sz w:val="14"/>
          <w:szCs w:val="18"/>
        </w:rPr>
        <w:t xml:space="preserve">Mistletoe alkali inhibits peroxidation in rat liver and kidney. </w:t>
      </w:r>
      <w:r w:rsidRPr="00405719">
        <w:rPr>
          <w:rFonts w:ascii="Cambria" w:hAnsi="Cambria"/>
          <w:i/>
          <w:iCs/>
          <w:sz w:val="14"/>
          <w:szCs w:val="18"/>
        </w:rPr>
        <w:t>World J Gastrenterol</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sz w:val="14"/>
          <w:szCs w:val="18"/>
        </w:rPr>
        <w:t xml:space="preserve">12(25), 4052-4055.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 xml:space="preserve">Stirpe F, Legg RF, Onyon LJ, Ziska P, Franz H (1980). </w:t>
      </w:r>
      <w:r w:rsidRPr="00405719">
        <w:rPr>
          <w:rFonts w:ascii="Cambria" w:hAnsi="Cambria"/>
          <w:sz w:val="14"/>
          <w:szCs w:val="18"/>
        </w:rPr>
        <w:t xml:space="preserve">Inhibition of protein synthesis by a toxic lectin from </w:t>
      </w:r>
      <w:r w:rsidRPr="00405719">
        <w:rPr>
          <w:rFonts w:ascii="Cambria" w:hAnsi="Cambria"/>
          <w:i/>
          <w:sz w:val="14"/>
          <w:szCs w:val="18"/>
        </w:rPr>
        <w:t>Viscum album L</w:t>
      </w:r>
      <w:r w:rsidRPr="00405719">
        <w:rPr>
          <w:rFonts w:ascii="Cambria" w:hAnsi="Cambria"/>
          <w:sz w:val="14"/>
          <w:szCs w:val="18"/>
        </w:rPr>
        <w:t xml:space="preserve">. (mistletoe). </w:t>
      </w:r>
      <w:r w:rsidRPr="00405719">
        <w:rPr>
          <w:rFonts w:ascii="Cambria" w:hAnsi="Cambria"/>
          <w:i/>
          <w:sz w:val="14"/>
          <w:szCs w:val="18"/>
        </w:rPr>
        <w:t>Biochem J</w:t>
      </w:r>
      <w:r w:rsidRPr="00405719">
        <w:rPr>
          <w:rFonts w:ascii="Cambria" w:hAnsi="Cambria"/>
          <w:sz w:val="14"/>
          <w:szCs w:val="18"/>
        </w:rPr>
        <w:t xml:space="preserve">, 190, 843-845. </w:t>
      </w:r>
    </w:p>
    <w:p w:rsidR="00467887" w:rsidRPr="00405719" w:rsidRDefault="00467887" w:rsidP="00467887">
      <w:pPr>
        <w:spacing w:before="60" w:after="60"/>
        <w:ind w:left="284" w:hanging="284"/>
        <w:jc w:val="both"/>
        <w:rPr>
          <w:rFonts w:ascii="Cambria" w:eastAsia="Times-Roman" w:hAnsi="Cambria"/>
          <w:sz w:val="14"/>
          <w:szCs w:val="18"/>
        </w:rPr>
      </w:pPr>
      <w:r w:rsidRPr="00405719">
        <w:rPr>
          <w:rFonts w:ascii="Cambria" w:eastAsia="Times-Roman" w:hAnsi="Cambria"/>
          <w:b/>
          <w:sz w:val="14"/>
          <w:szCs w:val="18"/>
        </w:rPr>
        <w:t>Sung, N-Y, Byun, E-B</w:t>
      </w:r>
      <w:proofErr w:type="gramStart"/>
      <w:r w:rsidRPr="00405719">
        <w:rPr>
          <w:rFonts w:ascii="Cambria" w:eastAsia="Times-Roman" w:hAnsi="Cambria"/>
          <w:b/>
          <w:sz w:val="14"/>
          <w:szCs w:val="18"/>
        </w:rPr>
        <w:t>.,</w:t>
      </w:r>
      <w:proofErr w:type="gramEnd"/>
      <w:r w:rsidRPr="00405719">
        <w:rPr>
          <w:rFonts w:ascii="Cambria" w:eastAsia="Times-Roman" w:hAnsi="Cambria"/>
          <w:b/>
          <w:sz w:val="14"/>
          <w:szCs w:val="18"/>
        </w:rPr>
        <w:t xml:space="preserve"> </w:t>
      </w:r>
      <w:r w:rsidRPr="00405719">
        <w:rPr>
          <w:rFonts w:ascii="Cambria" w:eastAsia="Gulliver" w:hAnsi="Cambria"/>
          <w:b/>
          <w:sz w:val="14"/>
          <w:szCs w:val="18"/>
        </w:rPr>
        <w:t>Song, D-S., et al. (2013).</w:t>
      </w:r>
      <w:r w:rsidRPr="00405719">
        <w:rPr>
          <w:rFonts w:ascii="Cambria" w:eastAsia="Times-Roman" w:hAnsi="Cambria"/>
          <w:sz w:val="14"/>
          <w:szCs w:val="18"/>
        </w:rPr>
        <w:t xml:space="preserve"> Effect of gamma irradiation on mistletoe (</w:t>
      </w:r>
      <w:r w:rsidRPr="00405719">
        <w:rPr>
          <w:rFonts w:ascii="Cambria" w:eastAsia="Times-Roman" w:hAnsi="Cambria"/>
          <w:i/>
          <w:sz w:val="14"/>
          <w:szCs w:val="18"/>
        </w:rPr>
        <w:t>Viscum album</w:t>
      </w:r>
      <w:r w:rsidRPr="00405719">
        <w:rPr>
          <w:rFonts w:ascii="Cambria" w:eastAsia="Times-Roman" w:hAnsi="Cambria"/>
          <w:sz w:val="14"/>
          <w:szCs w:val="18"/>
        </w:rPr>
        <w:t xml:space="preserve">) lectin-mediated toxicity and immunomodulatory activity. </w:t>
      </w:r>
      <w:r w:rsidRPr="00405719">
        <w:rPr>
          <w:rFonts w:ascii="Cambria" w:eastAsia="Times-Roman" w:hAnsi="Cambria"/>
          <w:i/>
          <w:sz w:val="14"/>
          <w:szCs w:val="18"/>
        </w:rPr>
        <w:t>FEBS Open Bio</w:t>
      </w:r>
      <w:r w:rsidRPr="00405719">
        <w:rPr>
          <w:rFonts w:ascii="Cambria" w:eastAsia="Times-Roman" w:hAnsi="Cambria"/>
          <w:sz w:val="14"/>
          <w:szCs w:val="18"/>
        </w:rPr>
        <w:t xml:space="preserve">, 3,106-111.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t>Timoshenko AV, Gabius H-J (1993).</w:t>
      </w:r>
      <w:r w:rsidRPr="00405719">
        <w:rPr>
          <w:rFonts w:ascii="Cambria" w:hAnsi="Cambria"/>
          <w:sz w:val="14"/>
          <w:szCs w:val="18"/>
        </w:rPr>
        <w:t xml:space="preserve"> Efficient induction of superoxide release from human neutrophils by the galactoside galactoside specific lectin from </w:t>
      </w:r>
      <w:r w:rsidRPr="00405719">
        <w:rPr>
          <w:rFonts w:ascii="Cambria" w:hAnsi="Cambria"/>
          <w:i/>
          <w:iCs/>
          <w:sz w:val="14"/>
          <w:szCs w:val="18"/>
        </w:rPr>
        <w:t>Viscum album. Biol. Chem Hoppe-Seyler</w:t>
      </w:r>
      <w:r w:rsidRPr="00405719">
        <w:rPr>
          <w:rFonts w:ascii="Cambria" w:hAnsi="Cambria"/>
          <w:iCs/>
          <w:sz w:val="14"/>
          <w:szCs w:val="18"/>
        </w:rPr>
        <w:t>,</w:t>
      </w:r>
      <w:r w:rsidRPr="00405719">
        <w:rPr>
          <w:rFonts w:ascii="Cambria" w:hAnsi="Cambria"/>
          <w:i/>
          <w:iCs/>
          <w:sz w:val="14"/>
          <w:szCs w:val="18"/>
        </w:rPr>
        <w:t xml:space="preserve"> </w:t>
      </w:r>
      <w:r w:rsidRPr="00405719">
        <w:rPr>
          <w:rFonts w:ascii="Cambria" w:hAnsi="Cambria"/>
          <w:iCs/>
          <w:sz w:val="14"/>
          <w:szCs w:val="18"/>
        </w:rPr>
        <w:t xml:space="preserve">374,237-43.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sz w:val="14"/>
          <w:szCs w:val="18"/>
        </w:rPr>
        <w:lastRenderedPageBreak/>
        <w:t>Timoshenko AV, Cherenkevich SN, Gabius H-J (1995).</w:t>
      </w:r>
      <w:r w:rsidRPr="00405719">
        <w:rPr>
          <w:rFonts w:ascii="Cambria" w:hAnsi="Cambria"/>
          <w:sz w:val="14"/>
          <w:szCs w:val="18"/>
        </w:rPr>
        <w:t xml:space="preserve"> </w:t>
      </w:r>
      <w:r w:rsidRPr="00405719">
        <w:rPr>
          <w:rFonts w:ascii="Cambria" w:hAnsi="Cambria"/>
          <w:i/>
          <w:sz w:val="14"/>
          <w:szCs w:val="18"/>
        </w:rPr>
        <w:t>Viscum album</w:t>
      </w:r>
      <w:r w:rsidRPr="00405719">
        <w:rPr>
          <w:rFonts w:ascii="Cambria" w:hAnsi="Cambria"/>
          <w:sz w:val="14"/>
          <w:szCs w:val="18"/>
        </w:rPr>
        <w:t xml:space="preserve"> agglutinin-induced aggregation of blood cells and lectin effect on neutrophil. </w:t>
      </w:r>
      <w:r w:rsidRPr="00405719">
        <w:rPr>
          <w:rFonts w:ascii="Cambria" w:hAnsi="Cambria"/>
          <w:i/>
          <w:sz w:val="14"/>
          <w:szCs w:val="18"/>
        </w:rPr>
        <w:t>Biomed Pharmcol</w:t>
      </w:r>
      <w:r w:rsidRPr="00405719">
        <w:rPr>
          <w:rFonts w:ascii="Cambria" w:hAnsi="Cambria"/>
          <w:sz w:val="14"/>
          <w:szCs w:val="18"/>
        </w:rPr>
        <w:t xml:space="preserve">, 49, 153-158.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iCs/>
          <w:sz w:val="14"/>
          <w:szCs w:val="18"/>
        </w:rPr>
        <w:t xml:space="preserve">Timoshenko AV, </w:t>
      </w:r>
      <w:proofErr w:type="gramStart"/>
      <w:r w:rsidRPr="00405719">
        <w:rPr>
          <w:rFonts w:ascii="Cambria" w:hAnsi="Cambria"/>
          <w:b/>
          <w:iCs/>
          <w:sz w:val="14"/>
          <w:szCs w:val="18"/>
        </w:rPr>
        <w:t>Lan</w:t>
      </w:r>
      <w:proofErr w:type="gramEnd"/>
      <w:r w:rsidRPr="00405719">
        <w:rPr>
          <w:rFonts w:ascii="Cambria" w:hAnsi="Cambria"/>
          <w:b/>
          <w:iCs/>
          <w:sz w:val="14"/>
          <w:szCs w:val="18"/>
        </w:rPr>
        <w:t xml:space="preserve"> Y, </w:t>
      </w:r>
      <w:r w:rsidRPr="00405719">
        <w:rPr>
          <w:rFonts w:ascii="Cambria" w:hAnsi="Cambria"/>
          <w:b/>
          <w:sz w:val="14"/>
          <w:szCs w:val="18"/>
        </w:rPr>
        <w:t>Gabius H-J, Lala PK (2001).</w:t>
      </w:r>
      <w:r w:rsidRPr="00405719">
        <w:rPr>
          <w:rFonts w:ascii="Cambria" w:hAnsi="Cambria"/>
          <w:sz w:val="14"/>
          <w:szCs w:val="18"/>
        </w:rPr>
        <w:t xml:space="preserve"> Immunotherapy of C3H/Hej mammary adenocarcinoma with interleukin-2, mistletoe lectin or their combination: effects on tumor growth, capillary leakage and nitric oxide (NO) production. </w:t>
      </w:r>
      <w:r w:rsidRPr="00405719">
        <w:rPr>
          <w:rFonts w:ascii="Cambria" w:hAnsi="Cambria"/>
          <w:i/>
          <w:sz w:val="14"/>
          <w:szCs w:val="18"/>
        </w:rPr>
        <w:t>Eur J Cancer</w:t>
      </w:r>
      <w:r w:rsidRPr="00405719">
        <w:rPr>
          <w:rFonts w:ascii="Cambria" w:hAnsi="Cambria"/>
          <w:sz w:val="14"/>
          <w:szCs w:val="18"/>
        </w:rPr>
        <w:t xml:space="preserve">, 37, 1910-1920. </w:t>
      </w:r>
    </w:p>
    <w:p w:rsidR="00467887" w:rsidRPr="00405719" w:rsidRDefault="00467887" w:rsidP="00467887">
      <w:pPr>
        <w:spacing w:before="60" w:after="60"/>
        <w:ind w:left="284" w:hanging="284"/>
        <w:jc w:val="both"/>
        <w:rPr>
          <w:rFonts w:ascii="Cambria" w:hAnsi="Cambria"/>
          <w:sz w:val="14"/>
          <w:szCs w:val="18"/>
        </w:rPr>
      </w:pPr>
      <w:r w:rsidRPr="00405719">
        <w:rPr>
          <w:rFonts w:ascii="Cambria" w:hAnsi="Cambria"/>
          <w:b/>
          <w:bCs/>
          <w:sz w:val="14"/>
          <w:szCs w:val="18"/>
        </w:rPr>
        <w:t>Ziska P</w:t>
      </w:r>
      <w:r w:rsidRPr="00405719">
        <w:rPr>
          <w:rFonts w:ascii="Cambria" w:hAnsi="Cambria"/>
          <w:b/>
          <w:sz w:val="14"/>
          <w:szCs w:val="18"/>
        </w:rPr>
        <w:t xml:space="preserve">, </w:t>
      </w:r>
      <w:r w:rsidRPr="00405719">
        <w:rPr>
          <w:rFonts w:ascii="Cambria" w:hAnsi="Cambria"/>
          <w:b/>
          <w:bCs/>
          <w:sz w:val="14"/>
          <w:szCs w:val="18"/>
        </w:rPr>
        <w:t>Eifler R</w:t>
      </w:r>
      <w:r w:rsidRPr="00405719">
        <w:rPr>
          <w:rFonts w:ascii="Cambria" w:hAnsi="Cambria"/>
          <w:b/>
          <w:sz w:val="14"/>
          <w:szCs w:val="18"/>
        </w:rPr>
        <w:t xml:space="preserve">, </w:t>
      </w:r>
      <w:r w:rsidRPr="00405719">
        <w:rPr>
          <w:rFonts w:ascii="Cambria" w:hAnsi="Cambria"/>
          <w:b/>
          <w:bCs/>
          <w:sz w:val="14"/>
          <w:szCs w:val="18"/>
        </w:rPr>
        <w:t>Franz H</w:t>
      </w:r>
      <w:r w:rsidRPr="00405719">
        <w:rPr>
          <w:rFonts w:ascii="Cambria" w:hAnsi="Cambria"/>
          <w:b/>
          <w:sz w:val="14"/>
          <w:szCs w:val="18"/>
        </w:rPr>
        <w:t xml:space="preserve"> (1979).</w:t>
      </w:r>
      <w:r w:rsidRPr="00405719">
        <w:rPr>
          <w:rFonts w:ascii="Cambria" w:hAnsi="Cambria"/>
          <w:sz w:val="14"/>
          <w:szCs w:val="18"/>
        </w:rPr>
        <w:t xml:space="preserve"> Chemical modification studies on the D-galactopyranosyl binding lectin from the mistletoe </w:t>
      </w:r>
      <w:r w:rsidRPr="00405719">
        <w:rPr>
          <w:rFonts w:ascii="Cambria" w:hAnsi="Cambria"/>
          <w:i/>
          <w:sz w:val="14"/>
          <w:szCs w:val="18"/>
        </w:rPr>
        <w:t>Viscum album L</w:t>
      </w:r>
      <w:r w:rsidRPr="00405719">
        <w:rPr>
          <w:rFonts w:ascii="Cambria" w:hAnsi="Cambria"/>
          <w:sz w:val="14"/>
          <w:szCs w:val="18"/>
        </w:rPr>
        <w:t xml:space="preserve">. </w:t>
      </w:r>
      <w:r w:rsidRPr="00405719">
        <w:rPr>
          <w:rFonts w:ascii="Cambria" w:hAnsi="Cambria"/>
          <w:bCs/>
          <w:i/>
          <w:sz w:val="14"/>
          <w:szCs w:val="18"/>
        </w:rPr>
        <w:t>Acta Biol Med Ger</w:t>
      </w:r>
      <w:r w:rsidRPr="00405719">
        <w:rPr>
          <w:rFonts w:ascii="Cambria" w:hAnsi="Cambria"/>
          <w:bCs/>
          <w:sz w:val="14"/>
          <w:szCs w:val="18"/>
        </w:rPr>
        <w:t xml:space="preserve">, </w:t>
      </w:r>
      <w:r w:rsidRPr="00405719">
        <w:rPr>
          <w:rFonts w:ascii="Cambria" w:hAnsi="Cambria"/>
          <w:sz w:val="14"/>
          <w:szCs w:val="18"/>
        </w:rPr>
        <w:t xml:space="preserve"> 38(9), 1361-1363. in: Ergun F, Deliorman D, Şener B(1995). </w:t>
      </w:r>
      <w:r w:rsidRPr="00405719">
        <w:rPr>
          <w:rFonts w:ascii="Cambria" w:hAnsi="Cambria"/>
          <w:i/>
          <w:sz w:val="14"/>
          <w:szCs w:val="18"/>
        </w:rPr>
        <w:t>Viscum album L</w:t>
      </w:r>
      <w:r w:rsidRPr="00405719">
        <w:rPr>
          <w:rFonts w:ascii="Cambria" w:hAnsi="Cambria"/>
          <w:sz w:val="14"/>
          <w:szCs w:val="18"/>
        </w:rPr>
        <w:t>. Lektinleri</w:t>
      </w:r>
      <w:r w:rsidRPr="00405719">
        <w:rPr>
          <w:rFonts w:ascii="Cambria" w:hAnsi="Cambria"/>
          <w:i/>
          <w:sz w:val="14"/>
          <w:szCs w:val="18"/>
        </w:rPr>
        <w:t>. FABAD J Pharmacol Sci</w:t>
      </w:r>
      <w:r w:rsidRPr="00405719">
        <w:rPr>
          <w:rFonts w:ascii="Cambria" w:hAnsi="Cambria"/>
          <w:sz w:val="14"/>
          <w:szCs w:val="18"/>
        </w:rPr>
        <w:t xml:space="preserve">, 20, 117-123. </w:t>
      </w:r>
    </w:p>
    <w:p w:rsidR="00575F7F" w:rsidRPr="00467887" w:rsidRDefault="00467887" w:rsidP="00467887">
      <w:pPr>
        <w:spacing w:before="60" w:after="60"/>
        <w:ind w:left="284" w:hanging="284"/>
        <w:jc w:val="both"/>
        <w:rPr>
          <w:rFonts w:ascii="Cambria" w:hAnsi="Cambria"/>
          <w:sz w:val="14"/>
          <w:szCs w:val="14"/>
          <w:lang w:val="en-US"/>
        </w:rPr>
      </w:pPr>
      <w:r w:rsidRPr="00405719">
        <w:rPr>
          <w:rFonts w:ascii="Cambria" w:hAnsi="Cambria"/>
          <w:b/>
          <w:sz w:val="14"/>
          <w:szCs w:val="18"/>
        </w:rPr>
        <w:t xml:space="preserve">Zorlu S, Gün H, Demirbağ E, Çınar K (2013). </w:t>
      </w:r>
      <w:r w:rsidRPr="00405719">
        <w:rPr>
          <w:rFonts w:ascii="Cambria" w:hAnsi="Cambria"/>
          <w:sz w:val="14"/>
          <w:szCs w:val="18"/>
        </w:rPr>
        <w:t xml:space="preserve">Sığır jejenum mukozasındaki bazı glikokonjugatların lektin histokimyasal karakterizasyonu. </w:t>
      </w:r>
      <w:r w:rsidRPr="00405719">
        <w:rPr>
          <w:rFonts w:ascii="Cambria" w:hAnsi="Cambria"/>
          <w:i/>
          <w:sz w:val="14"/>
          <w:szCs w:val="18"/>
        </w:rPr>
        <w:t>Van Vet J</w:t>
      </w:r>
      <w:r w:rsidRPr="00405719">
        <w:rPr>
          <w:rFonts w:ascii="Cambria" w:hAnsi="Cambria"/>
          <w:sz w:val="14"/>
          <w:szCs w:val="18"/>
        </w:rPr>
        <w:t>, 73-75.</w:t>
      </w:r>
      <w:bookmarkEnd w:id="1"/>
      <w:bookmarkEnd w:id="2"/>
    </w:p>
    <w:p w:rsidR="00F66767" w:rsidRPr="00833244" w:rsidRDefault="00F66767" w:rsidP="00F02D1C">
      <w:pPr>
        <w:spacing w:before="60" w:after="60"/>
        <w:ind w:left="284" w:hanging="284"/>
        <w:jc w:val="both"/>
        <w:rPr>
          <w:rFonts w:ascii="Cambria" w:hAnsi="Cambria"/>
          <w:sz w:val="20"/>
          <w:szCs w:val="20"/>
        </w:rPr>
        <w:sectPr w:rsidR="00F66767" w:rsidRPr="00833244" w:rsidSect="00F97543">
          <w:type w:val="continuous"/>
          <w:pgSz w:w="11906" w:h="16838"/>
          <w:pgMar w:top="1134" w:right="1134" w:bottom="1134" w:left="1134" w:header="709" w:footer="709" w:gutter="0"/>
          <w:cols w:num="2" w:space="567"/>
          <w:docGrid w:linePitch="360"/>
        </w:sectPr>
      </w:pPr>
    </w:p>
    <w:p w:rsidR="00A34A6D" w:rsidRPr="00833244" w:rsidRDefault="00A34A6D" w:rsidP="00A34A6D">
      <w:pPr>
        <w:jc w:val="both"/>
        <w:rPr>
          <w:rFonts w:ascii="Cambria" w:hAnsi="Cambria"/>
          <w:sz w:val="20"/>
          <w:szCs w:val="20"/>
        </w:rPr>
      </w:pPr>
    </w:p>
    <w:sectPr w:rsidR="00A34A6D" w:rsidRPr="00833244"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B5" w:rsidRDefault="00B836B5" w:rsidP="00EA7DF9">
      <w:r>
        <w:separator/>
      </w:r>
    </w:p>
  </w:endnote>
  <w:endnote w:type="continuationSeparator" w:id="0">
    <w:p w:rsidR="00B836B5" w:rsidRDefault="00B836B5"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Quorum-Book">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7" w:usb1="08070000" w:usb2="00000010" w:usb3="00000000" w:csb0="0002001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MS Mincho"/>
    <w:panose1 w:val="00000000000000000000"/>
    <w:charset w:val="80"/>
    <w:family w:val="auto"/>
    <w:notTrueType/>
    <w:pitch w:val="default"/>
    <w:sig w:usb0="00000007" w:usb1="08070000" w:usb2="00000010" w:usb3="00000000" w:csb0="00020011" w:csb1="00000000"/>
  </w:font>
  <w:font w:name="Gullive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2" w:rsidRPr="007A0492" w:rsidRDefault="00AB15F2">
    <w:pPr>
      <w:pStyle w:val="Altbilgi"/>
      <w:rPr>
        <w:rFonts w:ascii="Cambria" w:hAnsi="Cambria"/>
        <w:sz w:val="20"/>
      </w:rPr>
    </w:pPr>
    <w:r>
      <w:rPr>
        <w:rFonts w:ascii="Cambria" w:hAnsi="Cambria"/>
        <w:sz w:val="20"/>
      </w:rPr>
      <w:t>4</w:t>
    </w:r>
    <w:r w:rsidR="00295F29">
      <w:rPr>
        <w:rFonts w:ascii="Cambria" w:hAnsi="Cambria"/>
        <w:sz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Pr="007A0492" w:rsidRDefault="00AB15F2" w:rsidP="00FB7E79">
    <w:pPr>
      <w:pStyle w:val="Altbilgi"/>
      <w:jc w:val="right"/>
      <w:rPr>
        <w:rFonts w:ascii="Cambria" w:hAnsi="Cambria"/>
        <w:sz w:val="20"/>
      </w:rPr>
    </w:pPr>
    <w:r>
      <w:rPr>
        <w:rFonts w:ascii="Cambria" w:hAnsi="Cambria"/>
        <w:sz w:val="20"/>
      </w:rPr>
      <w:t>4</w:t>
    </w:r>
    <w:r w:rsidR="00295F29">
      <w:rPr>
        <w:rFonts w:ascii="Cambria" w:hAnsi="Cambria"/>
        <w:sz w:val="20"/>
      </w:rPr>
      <w:t>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661653"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3B35E720" wp14:editId="1DF08B99">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945151">
                            <w:rPr>
                              <w:rFonts w:ascii="Cambria" w:hAnsi="Cambria"/>
                              <w:sz w:val="15"/>
                              <w:szCs w:val="15"/>
                            </w:rPr>
                            <w:t>Ahmet HARMANKAYA</w:t>
                          </w:r>
                          <w:r w:rsidRPr="004B604B">
                            <w:rPr>
                              <w:rFonts w:ascii="Cambria" w:hAnsi="Cambria"/>
                              <w:sz w:val="15"/>
                              <w:szCs w:val="15"/>
                            </w:rPr>
                            <w:t xml:space="preserve"> </w:t>
                          </w:r>
                        </w:p>
                        <w:p w:rsidR="00C07692" w:rsidRDefault="00945151" w:rsidP="00EC0DCE">
                          <w:pPr>
                            <w:pStyle w:val="Altbilgi"/>
                            <w:rPr>
                              <w:rFonts w:ascii="Cambria" w:hAnsi="Cambria"/>
                              <w:i/>
                              <w:sz w:val="14"/>
                              <w:szCs w:val="18"/>
                            </w:rPr>
                          </w:pPr>
                          <w:r>
                            <w:rPr>
                              <w:rFonts w:ascii="Cambria" w:hAnsi="Cambria"/>
                              <w:i/>
                              <w:sz w:val="14"/>
                              <w:szCs w:val="14"/>
                            </w:rPr>
                            <w:t>Kafkas</w:t>
                          </w:r>
                          <w:r w:rsidR="00C07692" w:rsidRPr="00BE198F">
                            <w:rPr>
                              <w:rFonts w:ascii="Cambria" w:hAnsi="Cambria"/>
                              <w:i/>
                              <w:sz w:val="14"/>
                              <w:szCs w:val="14"/>
                            </w:rPr>
                            <w:t xml:space="preserve"> Üniv</w:t>
                          </w:r>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w:t>
                          </w:r>
                          <w:r>
                            <w:rPr>
                              <w:rFonts w:ascii="Cambria" w:hAnsi="Cambria"/>
                              <w:i/>
                              <w:sz w:val="14"/>
                              <w:szCs w:val="14"/>
                            </w:rPr>
                            <w:t>Fen</w:t>
                          </w:r>
                          <w:r w:rsidR="00C07692" w:rsidRPr="00BE198F">
                            <w:rPr>
                              <w:rFonts w:ascii="Cambria" w:hAnsi="Cambria"/>
                              <w:i/>
                              <w:sz w:val="14"/>
                              <w:szCs w:val="14"/>
                            </w:rPr>
                            <w:t xml:space="preserve"> Fak., </w:t>
                          </w:r>
                          <w:r>
                            <w:rPr>
                              <w:rFonts w:ascii="Cambria" w:hAnsi="Cambria"/>
                              <w:i/>
                              <w:sz w:val="14"/>
                              <w:szCs w:val="14"/>
                            </w:rPr>
                            <w:t>Kimya Böl</w:t>
                          </w:r>
                          <w:r w:rsidR="00C07692" w:rsidRPr="00BE198F">
                            <w:rPr>
                              <w:rFonts w:ascii="Cambria" w:hAnsi="Cambria"/>
                              <w:i/>
                              <w:sz w:val="14"/>
                              <w:szCs w:val="14"/>
                            </w:rPr>
                            <w:t xml:space="preserve">, </w:t>
                          </w:r>
                          <w:r>
                            <w:rPr>
                              <w:rFonts w:ascii="Cambria" w:hAnsi="Cambria"/>
                              <w:i/>
                              <w:sz w:val="14"/>
                              <w:szCs w:val="14"/>
                            </w:rPr>
                            <w:t>Kars</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945151">
                            <w:rPr>
                              <w:rFonts w:ascii="Cambria" w:hAnsi="Cambria"/>
                              <w:i/>
                              <w:sz w:val="14"/>
                              <w:szCs w:val="18"/>
                            </w:rPr>
                            <w:t>ahmetharmankaya5@gmail.com</w:t>
                          </w:r>
                        </w:p>
                        <w:p w:rsidR="00945151" w:rsidRPr="00BE198F" w:rsidRDefault="00945151" w:rsidP="00EC0DCE">
                          <w:pPr>
                            <w:pStyle w:val="Altbilgi"/>
                            <w:rPr>
                              <w:rFonts w:ascii="Cambria" w:hAnsi="Cambria"/>
                              <w:i/>
                              <w:sz w:val="14"/>
                              <w:szCs w:val="14"/>
                            </w:rPr>
                          </w:pPr>
                          <w:r w:rsidRPr="00405719">
                            <w:rPr>
                              <w:rFonts w:ascii="Cambria" w:hAnsi="Cambria"/>
                              <w:b/>
                              <w:i/>
                              <w:sz w:val="14"/>
                              <w:szCs w:val="18"/>
                            </w:rPr>
                            <w:t xml:space="preserve">*: </w:t>
                          </w:r>
                          <w:r w:rsidRPr="00405719">
                            <w:rPr>
                              <w:rFonts w:ascii="Cambria" w:hAnsi="Cambria"/>
                              <w:i/>
                              <w:sz w:val="14"/>
                              <w:szCs w:val="18"/>
                            </w:rPr>
                            <w:t>Bu çalışma ilk yazarın aynı isimli Doktora Tezinden özetlenmiş</w:t>
                          </w:r>
                          <w:r>
                            <w:rPr>
                              <w:rFonts w:ascii="Cambria" w:hAnsi="Cambria"/>
                              <w:i/>
                              <w:sz w:val="14"/>
                              <w:szCs w:val="18"/>
                            </w:rPr>
                            <w:t>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945151">
                      <w:rPr>
                        <w:rFonts w:ascii="Cambria" w:hAnsi="Cambria"/>
                        <w:sz w:val="15"/>
                        <w:szCs w:val="15"/>
                      </w:rPr>
                      <w:t>Ahmet HARMANKAYA</w:t>
                    </w:r>
                    <w:r w:rsidRPr="004B604B">
                      <w:rPr>
                        <w:rFonts w:ascii="Cambria" w:hAnsi="Cambria"/>
                        <w:sz w:val="15"/>
                        <w:szCs w:val="15"/>
                      </w:rPr>
                      <w:t xml:space="preserve"> </w:t>
                    </w:r>
                  </w:p>
                  <w:p w:rsidR="00C07692" w:rsidRDefault="00945151" w:rsidP="00EC0DCE">
                    <w:pPr>
                      <w:pStyle w:val="Altbilgi"/>
                      <w:rPr>
                        <w:rFonts w:ascii="Cambria" w:hAnsi="Cambria"/>
                        <w:i/>
                        <w:sz w:val="14"/>
                        <w:szCs w:val="18"/>
                      </w:rPr>
                    </w:pPr>
                    <w:r>
                      <w:rPr>
                        <w:rFonts w:ascii="Cambria" w:hAnsi="Cambria"/>
                        <w:i/>
                        <w:sz w:val="14"/>
                        <w:szCs w:val="14"/>
                      </w:rPr>
                      <w:t>Kafkas</w:t>
                    </w:r>
                    <w:r w:rsidR="00C07692" w:rsidRPr="00BE198F">
                      <w:rPr>
                        <w:rFonts w:ascii="Cambria" w:hAnsi="Cambria"/>
                        <w:i/>
                        <w:sz w:val="14"/>
                        <w:szCs w:val="14"/>
                      </w:rPr>
                      <w:t xml:space="preserve"> Üniv</w:t>
                    </w:r>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w:t>
                    </w:r>
                    <w:r>
                      <w:rPr>
                        <w:rFonts w:ascii="Cambria" w:hAnsi="Cambria"/>
                        <w:i/>
                        <w:sz w:val="14"/>
                        <w:szCs w:val="14"/>
                      </w:rPr>
                      <w:t>Fen</w:t>
                    </w:r>
                    <w:r w:rsidR="00C07692" w:rsidRPr="00BE198F">
                      <w:rPr>
                        <w:rFonts w:ascii="Cambria" w:hAnsi="Cambria"/>
                        <w:i/>
                        <w:sz w:val="14"/>
                        <w:szCs w:val="14"/>
                      </w:rPr>
                      <w:t xml:space="preserve"> Fak., </w:t>
                    </w:r>
                    <w:r>
                      <w:rPr>
                        <w:rFonts w:ascii="Cambria" w:hAnsi="Cambria"/>
                        <w:i/>
                        <w:sz w:val="14"/>
                        <w:szCs w:val="14"/>
                      </w:rPr>
                      <w:t>Kimya Böl</w:t>
                    </w:r>
                    <w:r w:rsidR="00C07692" w:rsidRPr="00BE198F">
                      <w:rPr>
                        <w:rFonts w:ascii="Cambria" w:hAnsi="Cambria"/>
                        <w:i/>
                        <w:sz w:val="14"/>
                        <w:szCs w:val="14"/>
                      </w:rPr>
                      <w:t xml:space="preserve">, </w:t>
                    </w:r>
                    <w:r>
                      <w:rPr>
                        <w:rFonts w:ascii="Cambria" w:hAnsi="Cambria"/>
                        <w:i/>
                        <w:sz w:val="14"/>
                        <w:szCs w:val="14"/>
                      </w:rPr>
                      <w:t>Kars</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945151">
                      <w:rPr>
                        <w:rFonts w:ascii="Cambria" w:hAnsi="Cambria"/>
                        <w:i/>
                        <w:sz w:val="14"/>
                        <w:szCs w:val="18"/>
                      </w:rPr>
                      <w:t>ahmetharmankaya5@gmail.com</w:t>
                    </w:r>
                  </w:p>
                  <w:p w:rsidR="00945151" w:rsidRPr="00BE198F" w:rsidRDefault="00945151" w:rsidP="00EC0DCE">
                    <w:pPr>
                      <w:pStyle w:val="Altbilgi"/>
                      <w:rPr>
                        <w:rFonts w:ascii="Cambria" w:hAnsi="Cambria"/>
                        <w:i/>
                        <w:sz w:val="14"/>
                        <w:szCs w:val="14"/>
                      </w:rPr>
                    </w:pPr>
                    <w:r w:rsidRPr="00405719">
                      <w:rPr>
                        <w:rFonts w:ascii="Cambria" w:hAnsi="Cambria"/>
                        <w:b/>
                        <w:i/>
                        <w:sz w:val="14"/>
                        <w:szCs w:val="18"/>
                      </w:rPr>
                      <w:t xml:space="preserve">*: </w:t>
                    </w:r>
                    <w:r w:rsidRPr="00405719">
                      <w:rPr>
                        <w:rFonts w:ascii="Cambria" w:hAnsi="Cambria"/>
                        <w:i/>
                        <w:sz w:val="14"/>
                        <w:szCs w:val="18"/>
                      </w:rPr>
                      <w:t>Bu çalışma ilk yazarın aynı isimli Doktora Tezinden özetlenmiş</w:t>
                    </w:r>
                    <w:r>
                      <w:rPr>
                        <w:rFonts w:ascii="Cambria" w:hAnsi="Cambria"/>
                        <w:i/>
                        <w:sz w:val="14"/>
                        <w:szCs w:val="18"/>
                      </w:rPr>
                      <w:t>tir</w:t>
                    </w:r>
                  </w:p>
                </w:txbxContent>
              </v:textbox>
              <w10:wrap type="topAndBottom"/>
            </v:shape>
          </w:pict>
        </mc:Fallback>
      </mc:AlternateContent>
    </w:r>
    <w:r w:rsidR="00AB15F2">
      <w:rPr>
        <w:rFonts w:ascii="Cambria" w:hAnsi="Cambria"/>
        <w:sz w:val="20"/>
      </w:rPr>
      <w:t>41</w:t>
    </w:r>
  </w:p>
  <w:p w:rsidR="00C07692" w:rsidRDefault="00C076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B5" w:rsidRDefault="00B836B5" w:rsidP="00EA7DF9">
      <w:r>
        <w:separator/>
      </w:r>
    </w:p>
  </w:footnote>
  <w:footnote w:type="continuationSeparator" w:id="0">
    <w:p w:rsidR="00B836B5" w:rsidRDefault="00B836B5"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945151">
      <w:rPr>
        <w:rFonts w:ascii="Cambria" w:hAnsi="Cambria"/>
        <w:sz w:val="16"/>
      </w:rPr>
      <w:t>Ahmet HARMANKAYA and Ayla ÖZCAN</w:t>
    </w:r>
    <w:r w:rsidRPr="00275B32">
      <w:rPr>
        <w:rFonts w:ascii="Cambria" w:hAnsi="Cambria"/>
        <w:sz w:val="16"/>
      </w:rPr>
      <w:t>]</w:t>
    </w:r>
    <w:r>
      <w:rPr>
        <w:rFonts w:ascii="Cambria" w:hAnsi="Cambria"/>
        <w:sz w:val="16"/>
      </w:rPr>
      <w:tab/>
    </w:r>
    <w:r w:rsidR="006601DB" w:rsidRPr="006601DB">
      <w:rPr>
        <w:rFonts w:ascii="Cambria" w:hAnsi="Cambria"/>
        <w:i/>
        <w:noProof/>
        <w:sz w:val="16"/>
        <w:szCs w:val="18"/>
      </w:rPr>
      <w:t>Van Vet J, 201</w:t>
    </w:r>
    <w:r w:rsidR="00754B36">
      <w:rPr>
        <w:rFonts w:ascii="Cambria" w:hAnsi="Cambria"/>
        <w:i/>
        <w:noProof/>
        <w:sz w:val="16"/>
        <w:szCs w:val="18"/>
      </w:rPr>
      <w:t>7</w:t>
    </w:r>
    <w:r w:rsidR="006601DB" w:rsidRPr="006601DB">
      <w:rPr>
        <w:rFonts w:ascii="Cambria" w:hAnsi="Cambria"/>
        <w:i/>
        <w:noProof/>
        <w:sz w:val="16"/>
        <w:szCs w:val="18"/>
      </w:rPr>
      <w:t>, 2</w:t>
    </w:r>
    <w:r w:rsidR="00754B36">
      <w:rPr>
        <w:rFonts w:ascii="Cambria" w:hAnsi="Cambria"/>
        <w:i/>
        <w:noProof/>
        <w:sz w:val="16"/>
        <w:szCs w:val="18"/>
      </w:rPr>
      <w:t>8</w:t>
    </w:r>
    <w:r w:rsidR="006601DB" w:rsidRPr="006601DB">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AB15F2">
      <w:rPr>
        <w:rFonts w:ascii="Cambria" w:hAnsi="Cambria"/>
        <w:i/>
        <w:noProof/>
        <w:sz w:val="16"/>
        <w:szCs w:val="18"/>
      </w:rPr>
      <w:t>41-45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945151" w:rsidRPr="00405719">
      <w:rPr>
        <w:rFonts w:ascii="Cambria" w:hAnsi="Cambria"/>
        <w:sz w:val="16"/>
        <w:szCs w:val="18"/>
      </w:rPr>
      <w:t>Mistletoe Lectin-I</w:t>
    </w:r>
    <w:r w:rsidRPr="00275B32">
      <w:rPr>
        <w:rFonts w:ascii="Cambria" w:hAnsi="Cambria"/>
        <w:sz w:val="16"/>
      </w:rPr>
      <w:t>]</w:t>
    </w:r>
    <w:r w:rsidRPr="0087191F">
      <w:rPr>
        <w:rFonts w:ascii="Cambria" w:hAnsi="Cambria"/>
        <w:sz w:val="16"/>
      </w:rPr>
      <w:t xml:space="preserve"> </w:t>
    </w:r>
    <w:r>
      <w:rPr>
        <w:rFonts w:ascii="Cambria" w:hAnsi="Cambria"/>
        <w:sz w:val="16"/>
      </w:rPr>
      <w:tab/>
    </w:r>
    <w:r w:rsidR="00557F4D">
      <w:rPr>
        <w:rFonts w:ascii="Cambria" w:hAnsi="Cambria"/>
        <w:i/>
        <w:noProof/>
        <w:sz w:val="16"/>
        <w:szCs w:val="18"/>
      </w:rPr>
      <w:t>Van Vet J, 201</w:t>
    </w:r>
    <w:r w:rsidR="00754B36">
      <w:rPr>
        <w:rFonts w:ascii="Cambria" w:hAnsi="Cambria"/>
        <w:i/>
        <w:noProof/>
        <w:sz w:val="16"/>
        <w:szCs w:val="18"/>
      </w:rPr>
      <w:t>7</w:t>
    </w:r>
    <w:r w:rsidR="00156EB4">
      <w:rPr>
        <w:rFonts w:ascii="Cambria" w:hAnsi="Cambria"/>
        <w:i/>
        <w:noProof/>
        <w:sz w:val="16"/>
        <w:szCs w:val="18"/>
      </w:rPr>
      <w:t>, 2</w:t>
    </w:r>
    <w:r w:rsidR="00754B36">
      <w:rPr>
        <w:rFonts w:ascii="Cambria" w:hAnsi="Cambria"/>
        <w:i/>
        <w:noProof/>
        <w:sz w:val="16"/>
        <w:szCs w:val="18"/>
      </w:rPr>
      <w:t>8</w:t>
    </w:r>
    <w:r w:rsidR="00156EB4">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AB15F2">
      <w:rPr>
        <w:rFonts w:ascii="Cambria" w:hAnsi="Cambria"/>
        <w:i/>
        <w:noProof/>
        <w:sz w:val="16"/>
        <w:szCs w:val="18"/>
      </w:rPr>
      <w:t>41-45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F2" w:rsidRDefault="00AB15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23903"/>
    <w:rsid w:val="00027DA8"/>
    <w:rsid w:val="000404AE"/>
    <w:rsid w:val="00041FFC"/>
    <w:rsid w:val="00064C0D"/>
    <w:rsid w:val="0006540E"/>
    <w:rsid w:val="00070003"/>
    <w:rsid w:val="00070C57"/>
    <w:rsid w:val="0007353F"/>
    <w:rsid w:val="00074F29"/>
    <w:rsid w:val="000764D6"/>
    <w:rsid w:val="000A4E83"/>
    <w:rsid w:val="000B3131"/>
    <w:rsid w:val="000B43AE"/>
    <w:rsid w:val="000B5458"/>
    <w:rsid w:val="000C0427"/>
    <w:rsid w:val="000D1413"/>
    <w:rsid w:val="00105507"/>
    <w:rsid w:val="00107AE8"/>
    <w:rsid w:val="001102FE"/>
    <w:rsid w:val="00113CC3"/>
    <w:rsid w:val="00152316"/>
    <w:rsid w:val="00155D6C"/>
    <w:rsid w:val="00156EB4"/>
    <w:rsid w:val="001624AD"/>
    <w:rsid w:val="001675A6"/>
    <w:rsid w:val="001728D6"/>
    <w:rsid w:val="001746D2"/>
    <w:rsid w:val="0017634E"/>
    <w:rsid w:val="00195DA1"/>
    <w:rsid w:val="00197DF4"/>
    <w:rsid w:val="001B062B"/>
    <w:rsid w:val="001D06C6"/>
    <w:rsid w:val="001E2952"/>
    <w:rsid w:val="001E325B"/>
    <w:rsid w:val="001E3E6F"/>
    <w:rsid w:val="00204D73"/>
    <w:rsid w:val="002132EC"/>
    <w:rsid w:val="00213EE7"/>
    <w:rsid w:val="00230E93"/>
    <w:rsid w:val="002626F3"/>
    <w:rsid w:val="00266112"/>
    <w:rsid w:val="0026710F"/>
    <w:rsid w:val="00275048"/>
    <w:rsid w:val="002925CB"/>
    <w:rsid w:val="00295F29"/>
    <w:rsid w:val="002A1D58"/>
    <w:rsid w:val="002C4DAF"/>
    <w:rsid w:val="002E7B22"/>
    <w:rsid w:val="002F7784"/>
    <w:rsid w:val="0031744C"/>
    <w:rsid w:val="0032641D"/>
    <w:rsid w:val="00336070"/>
    <w:rsid w:val="00336A95"/>
    <w:rsid w:val="00345A01"/>
    <w:rsid w:val="00360B3C"/>
    <w:rsid w:val="00376922"/>
    <w:rsid w:val="003902DC"/>
    <w:rsid w:val="003A33AB"/>
    <w:rsid w:val="003A7830"/>
    <w:rsid w:val="003D102F"/>
    <w:rsid w:val="003D4085"/>
    <w:rsid w:val="003F6B7F"/>
    <w:rsid w:val="00402ED7"/>
    <w:rsid w:val="00402F63"/>
    <w:rsid w:val="0040631E"/>
    <w:rsid w:val="0040698D"/>
    <w:rsid w:val="004262C7"/>
    <w:rsid w:val="00434A9D"/>
    <w:rsid w:val="00437EFD"/>
    <w:rsid w:val="00447240"/>
    <w:rsid w:val="00447C61"/>
    <w:rsid w:val="00467887"/>
    <w:rsid w:val="00472C1F"/>
    <w:rsid w:val="00487485"/>
    <w:rsid w:val="004874DA"/>
    <w:rsid w:val="004908F3"/>
    <w:rsid w:val="00493C80"/>
    <w:rsid w:val="004A1DB0"/>
    <w:rsid w:val="004A26CE"/>
    <w:rsid w:val="004B2A8E"/>
    <w:rsid w:val="004B2C99"/>
    <w:rsid w:val="004B604B"/>
    <w:rsid w:val="004C5EEA"/>
    <w:rsid w:val="004D3E26"/>
    <w:rsid w:val="004E256D"/>
    <w:rsid w:val="004F6EED"/>
    <w:rsid w:val="0050459D"/>
    <w:rsid w:val="00517816"/>
    <w:rsid w:val="00530E49"/>
    <w:rsid w:val="0054041E"/>
    <w:rsid w:val="00547594"/>
    <w:rsid w:val="00557F4D"/>
    <w:rsid w:val="0057477A"/>
    <w:rsid w:val="00575F7F"/>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72924"/>
    <w:rsid w:val="0068050A"/>
    <w:rsid w:val="00681744"/>
    <w:rsid w:val="00693D17"/>
    <w:rsid w:val="006A0838"/>
    <w:rsid w:val="006C2D87"/>
    <w:rsid w:val="006C7FC9"/>
    <w:rsid w:val="006D0D81"/>
    <w:rsid w:val="006E3CB7"/>
    <w:rsid w:val="006F7782"/>
    <w:rsid w:val="00706EAB"/>
    <w:rsid w:val="00724ECD"/>
    <w:rsid w:val="00731D03"/>
    <w:rsid w:val="007467A0"/>
    <w:rsid w:val="00751D35"/>
    <w:rsid w:val="00752C7F"/>
    <w:rsid w:val="00754B36"/>
    <w:rsid w:val="007554EE"/>
    <w:rsid w:val="00755BCA"/>
    <w:rsid w:val="00764DF6"/>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86CEA"/>
    <w:rsid w:val="008A41D1"/>
    <w:rsid w:val="008C18F5"/>
    <w:rsid w:val="008C5F84"/>
    <w:rsid w:val="008E6F00"/>
    <w:rsid w:val="008F5C18"/>
    <w:rsid w:val="00920ADF"/>
    <w:rsid w:val="00943115"/>
    <w:rsid w:val="00945151"/>
    <w:rsid w:val="009452DF"/>
    <w:rsid w:val="00961B8E"/>
    <w:rsid w:val="00963F3A"/>
    <w:rsid w:val="0098388A"/>
    <w:rsid w:val="00984BAC"/>
    <w:rsid w:val="009C0D80"/>
    <w:rsid w:val="009D14E9"/>
    <w:rsid w:val="009E3753"/>
    <w:rsid w:val="009E4DE8"/>
    <w:rsid w:val="009E5A4C"/>
    <w:rsid w:val="009F4813"/>
    <w:rsid w:val="009F684B"/>
    <w:rsid w:val="009F7EC2"/>
    <w:rsid w:val="00A066BB"/>
    <w:rsid w:val="00A26FAB"/>
    <w:rsid w:val="00A30185"/>
    <w:rsid w:val="00A34A6D"/>
    <w:rsid w:val="00A4034B"/>
    <w:rsid w:val="00A42094"/>
    <w:rsid w:val="00A46915"/>
    <w:rsid w:val="00A5538C"/>
    <w:rsid w:val="00A66193"/>
    <w:rsid w:val="00A72344"/>
    <w:rsid w:val="00A73BD1"/>
    <w:rsid w:val="00A779B7"/>
    <w:rsid w:val="00AA51B1"/>
    <w:rsid w:val="00AA650D"/>
    <w:rsid w:val="00AB15F2"/>
    <w:rsid w:val="00AB1B17"/>
    <w:rsid w:val="00AB26CF"/>
    <w:rsid w:val="00AB30E2"/>
    <w:rsid w:val="00AC4146"/>
    <w:rsid w:val="00AC6312"/>
    <w:rsid w:val="00B02E26"/>
    <w:rsid w:val="00B04E8C"/>
    <w:rsid w:val="00B06E27"/>
    <w:rsid w:val="00B07183"/>
    <w:rsid w:val="00B13ABC"/>
    <w:rsid w:val="00B21E75"/>
    <w:rsid w:val="00B3512C"/>
    <w:rsid w:val="00B4524E"/>
    <w:rsid w:val="00B456C5"/>
    <w:rsid w:val="00B56246"/>
    <w:rsid w:val="00B65F2A"/>
    <w:rsid w:val="00B75F42"/>
    <w:rsid w:val="00B76925"/>
    <w:rsid w:val="00B836B5"/>
    <w:rsid w:val="00B91C7E"/>
    <w:rsid w:val="00BD178B"/>
    <w:rsid w:val="00BD2BCA"/>
    <w:rsid w:val="00BE198F"/>
    <w:rsid w:val="00BE48EF"/>
    <w:rsid w:val="00BE6A00"/>
    <w:rsid w:val="00BF3839"/>
    <w:rsid w:val="00BF6F59"/>
    <w:rsid w:val="00C05E8C"/>
    <w:rsid w:val="00C0630E"/>
    <w:rsid w:val="00C07692"/>
    <w:rsid w:val="00C12963"/>
    <w:rsid w:val="00C24858"/>
    <w:rsid w:val="00C339F9"/>
    <w:rsid w:val="00C41A54"/>
    <w:rsid w:val="00C436A5"/>
    <w:rsid w:val="00C7639A"/>
    <w:rsid w:val="00C76AF8"/>
    <w:rsid w:val="00C829B2"/>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23C23"/>
    <w:rsid w:val="00E24CB2"/>
    <w:rsid w:val="00E362CE"/>
    <w:rsid w:val="00E75332"/>
    <w:rsid w:val="00E76902"/>
    <w:rsid w:val="00E805A8"/>
    <w:rsid w:val="00EA1E6C"/>
    <w:rsid w:val="00EA7DF9"/>
    <w:rsid w:val="00EC0DCE"/>
    <w:rsid w:val="00EE2859"/>
    <w:rsid w:val="00F02D1C"/>
    <w:rsid w:val="00F134CE"/>
    <w:rsid w:val="00F228C1"/>
    <w:rsid w:val="00F36422"/>
    <w:rsid w:val="00F405A8"/>
    <w:rsid w:val="00F51BFF"/>
    <w:rsid w:val="00F66767"/>
    <w:rsid w:val="00F87F42"/>
    <w:rsid w:val="00F97543"/>
    <w:rsid w:val="00FB530E"/>
    <w:rsid w:val="00FB75DB"/>
    <w:rsid w:val="00FB7E79"/>
    <w:rsid w:val="00FC168F"/>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9383-68FB-437B-A2A2-0305AE8F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3896</Words>
  <Characters>22213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15</cp:revision>
  <cp:lastPrinted>2017-05-02T05:43:00Z</cp:lastPrinted>
  <dcterms:created xsi:type="dcterms:W3CDTF">2015-10-02T06:20:00Z</dcterms:created>
  <dcterms:modified xsi:type="dcterms:W3CDTF">2017-05-02T05:43:00Z</dcterms:modified>
</cp:coreProperties>
</file>